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1F3864"/>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e lançando-o na agenda; a gerar cobranças por PIX para cada parcela de honorários; a redigir, com apoio da IA, atualizações do andamento em linguagem simples para o cliente; a enviar notificações push ao celular; e a exportar a agenda para aplicativos de calendário. O funcionamento é verificado por testes automatizados em três níveis — API, componentes de interface e ponta a ponta, este último com checagem de acessibilidade —, executados a cada alteração em integração contínua, e a API é documentada no padrão OpenAPI.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1F3864"/>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19</w:t>
      </w:r>
    </w:p>
    <w:p>
      <w:pPr>
        <w:tabs>
          <w:tab w:val="right" w:pos="9071" w:leader="dot"/>
        </w:tabs>
        <w:spacing w:after="60"/>
        <w:ind w:left="360"/>
      </w:pPr>
      <w:r>
        <w:rPr>
          <w:sz w:val="22"/>
          <w:szCs w:val="22"/>
        </w:rPr>
        <w:t xml:space="preserve">4.1. Diagrama de Casos de Uso</w:t>
      </w:r>
      <w:r>
        <w:rPr>
          <w:sz w:val="22"/>
          <w:szCs w:val="22"/>
        </w:rPr>
        <w:t xml:space="preserve">	19</w:t>
      </w:r>
    </w:p>
    <w:p>
      <w:pPr>
        <w:tabs>
          <w:tab w:val="right" w:pos="9071" w:leader="dot"/>
        </w:tabs>
        <w:spacing w:after="60"/>
        <w:ind w:left="360"/>
      </w:pPr>
      <w:r>
        <w:rPr>
          <w:sz w:val="22"/>
          <w:szCs w:val="22"/>
        </w:rPr>
        <w:t xml:space="preserve">4.2. Especificação dos Casos de Uso</w:t>
      </w:r>
      <w:r>
        <w:rPr>
          <w:sz w:val="22"/>
          <w:szCs w:val="22"/>
        </w:rPr>
        <w:t xml:space="preserve">	21</w:t>
      </w:r>
    </w:p>
    <w:p>
      <w:pPr>
        <w:tabs>
          <w:tab w:val="right" w:pos="9071" w:leader="dot"/>
        </w:tabs>
        <w:spacing w:after="60"/>
        <w:ind w:left="360"/>
      </w:pPr>
      <w:r>
        <w:rPr>
          <w:sz w:val="22"/>
          <w:szCs w:val="22"/>
        </w:rPr>
        <w:t xml:space="preserve">4.3. Diagrama de Classes</w:t>
      </w:r>
      <w:r>
        <w:rPr>
          <w:sz w:val="22"/>
          <w:szCs w:val="22"/>
        </w:rPr>
        <w:t xml:space="preserve">	23</w:t>
      </w:r>
    </w:p>
    <w:p>
      <w:pPr>
        <w:tabs>
          <w:tab w:val="right" w:pos="9071" w:leader="dot"/>
        </w:tabs>
        <w:spacing w:after="60"/>
        <w:ind w:left="360"/>
      </w:pPr>
      <w:r>
        <w:rPr>
          <w:sz w:val="22"/>
          <w:szCs w:val="22"/>
        </w:rPr>
        <w:t xml:space="preserve">4.4. Diagramas de Sequência</w:t>
      </w:r>
      <w:r>
        <w:rPr>
          <w:sz w:val="22"/>
          <w:szCs w:val="22"/>
        </w:rPr>
        <w:t xml:space="preserve">	24</w:t>
      </w:r>
    </w:p>
    <w:p>
      <w:pPr>
        <w:tabs>
          <w:tab w:val="right" w:pos="9071" w:leader="dot"/>
        </w:tabs>
        <w:spacing w:after="60"/>
        <w:ind w:left="0"/>
      </w:pPr>
      <w:r>
        <w:rPr>
          <w:sz w:val="22"/>
          <w:szCs w:val="22"/>
        </w:rPr>
        <w:t xml:space="preserve">5. Modelagem de Dados</w:t>
      </w:r>
      <w:r>
        <w:rPr>
          <w:sz w:val="22"/>
          <w:szCs w:val="22"/>
        </w:rPr>
        <w:t xml:space="preserve">	26</w:t>
      </w:r>
    </w:p>
    <w:p>
      <w:pPr>
        <w:tabs>
          <w:tab w:val="right" w:pos="9071" w:leader="dot"/>
        </w:tabs>
        <w:spacing w:after="60"/>
        <w:ind w:left="0"/>
      </w:pPr>
      <w:r>
        <w:rPr>
          <w:sz w:val="22"/>
          <w:szCs w:val="22"/>
        </w:rPr>
        <w:t xml:space="preserve">6. Protótipos das Funcionalidades Principais</w:t>
      </w:r>
      <w:r>
        <w:rPr>
          <w:sz w:val="22"/>
          <w:szCs w:val="22"/>
        </w:rPr>
        <w:t xml:space="preserve">	28</w:t>
      </w:r>
    </w:p>
    <w:p>
      <w:pPr>
        <w:tabs>
          <w:tab w:val="right" w:pos="9071" w:leader="dot"/>
        </w:tabs>
        <w:spacing w:after="60"/>
        <w:ind w:left="360"/>
      </w:pPr>
      <w:r>
        <w:rPr>
          <w:sz w:val="22"/>
          <w:szCs w:val="22"/>
        </w:rPr>
        <w:t xml:space="preserve">6.1. Tela de Login</w:t>
      </w:r>
      <w:r>
        <w:rPr>
          <w:sz w:val="22"/>
          <w:szCs w:val="22"/>
        </w:rPr>
        <w:t xml:space="preserve">	29</w:t>
      </w:r>
    </w:p>
    <w:p>
      <w:pPr>
        <w:tabs>
          <w:tab w:val="right" w:pos="9071" w:leader="dot"/>
        </w:tabs>
        <w:spacing w:after="60"/>
        <w:ind w:left="360"/>
      </w:pPr>
      <w:r>
        <w:rPr>
          <w:sz w:val="22"/>
          <w:szCs w:val="22"/>
        </w:rPr>
        <w:t xml:space="preserve">6.2. Painel do Escritório (Dashboard)</w:t>
      </w:r>
      <w:r>
        <w:rPr>
          <w:sz w:val="22"/>
          <w:szCs w:val="22"/>
        </w:rPr>
        <w:t xml:space="preserve">	29</w:t>
      </w:r>
    </w:p>
    <w:p>
      <w:pPr>
        <w:tabs>
          <w:tab w:val="right" w:pos="9071" w:leader="dot"/>
        </w:tabs>
        <w:spacing w:after="60"/>
        <w:ind w:left="360"/>
      </w:pPr>
      <w:r>
        <w:rPr>
          <w:sz w:val="22"/>
          <w:szCs w:val="22"/>
        </w:rPr>
        <w:t xml:space="preserve">6.3. Contratos e Honorários</w:t>
      </w:r>
      <w:r>
        <w:rPr>
          <w:sz w:val="22"/>
          <w:szCs w:val="22"/>
        </w:rPr>
        <w:t xml:space="preserve">	30</w:t>
      </w:r>
    </w:p>
    <w:p>
      <w:pPr>
        <w:tabs>
          <w:tab w:val="right" w:pos="9071" w:leader="dot"/>
        </w:tabs>
        <w:spacing w:after="60"/>
        <w:ind w:left="360"/>
      </w:pPr>
      <w:r>
        <w:rPr>
          <w:sz w:val="22"/>
          <w:szCs w:val="22"/>
        </w:rPr>
        <w:t xml:space="preserve">6.4. Painel Mestre (Administrador do Sistema)</w:t>
      </w:r>
      <w:r>
        <w:rPr>
          <w:sz w:val="22"/>
          <w:szCs w:val="22"/>
        </w:rPr>
        <w:t xml:space="preserve">	30</w:t>
      </w:r>
    </w:p>
    <w:p>
      <w:pPr>
        <w:tabs>
          <w:tab w:val="right" w:pos="9071" w:leader="dot"/>
        </w:tabs>
        <w:spacing w:after="60"/>
        <w:ind w:left="360"/>
      </w:pPr>
      <w:r>
        <w:rPr>
          <w:sz w:val="22"/>
          <w:szCs w:val="22"/>
        </w:rPr>
        <w:t xml:space="preserve">6.5. Registro de Auditoria</w:t>
      </w:r>
      <w:r>
        <w:rPr>
          <w:sz w:val="22"/>
          <w:szCs w:val="22"/>
        </w:rPr>
        <w:t xml:space="preserve">	30</w:t>
      </w:r>
    </w:p>
    <w:p>
      <w:pPr>
        <w:tabs>
          <w:tab w:val="right" w:pos="9071" w:leader="dot"/>
        </w:tabs>
        <w:spacing w:after="60"/>
        <w:ind w:left="360"/>
      </w:pPr>
      <w:r>
        <w:rPr>
          <w:sz w:val="22"/>
          <w:szCs w:val="22"/>
        </w:rPr>
        <w:t xml:space="preserve">6.6. Cálculo de Prazo em Dias Úteis</w:t>
      </w:r>
      <w:r>
        <w:rPr>
          <w:sz w:val="22"/>
          <w:szCs w:val="22"/>
        </w:rPr>
        <w:t xml:space="preserve">	31</w:t>
      </w:r>
    </w:p>
    <w:p>
      <w:pPr>
        <w:tabs>
          <w:tab w:val="right" w:pos="9071" w:leader="dot"/>
        </w:tabs>
        <w:spacing w:after="60"/>
        <w:ind w:left="360"/>
      </w:pPr>
      <w:r>
        <w:rPr>
          <w:sz w:val="22"/>
          <w:szCs w:val="22"/>
        </w:rPr>
        <w:t xml:space="preserve">6.7. Horas Trabalhadas e Despesas Processuais</w:t>
      </w:r>
      <w:r>
        <w:rPr>
          <w:sz w:val="22"/>
          <w:szCs w:val="22"/>
        </w:rPr>
        <w:t xml:space="preserve">	31</w:t>
      </w:r>
    </w:p>
    <w:p>
      <w:pPr>
        <w:tabs>
          <w:tab w:val="right" w:pos="9071" w:leader="dot"/>
        </w:tabs>
        <w:spacing w:after="60"/>
        <w:ind w:left="360"/>
      </w:pPr>
      <w:r>
        <w:rPr>
          <w:sz w:val="22"/>
          <w:szCs w:val="22"/>
        </w:rPr>
        <w:t xml:space="preserve">6.8. Consulta Processual no DataJud</w:t>
      </w:r>
      <w:r>
        <w:rPr>
          <w:sz w:val="22"/>
          <w:szCs w:val="22"/>
        </w:rPr>
        <w:t xml:space="preserve">	32</w:t>
      </w:r>
    </w:p>
    <w:p>
      <w:pPr>
        <w:tabs>
          <w:tab w:val="right" w:pos="9071" w:leader="dot"/>
        </w:tabs>
        <w:spacing w:after="60"/>
        <w:ind w:left="360"/>
      </w:pPr>
      <w:r>
        <w:rPr>
          <w:sz w:val="22"/>
          <w:szCs w:val="22"/>
        </w:rPr>
        <w:t xml:space="preserve">6.9. Modelos de Documento</w:t>
      </w:r>
      <w:r>
        <w:rPr>
          <w:sz w:val="22"/>
          <w:szCs w:val="22"/>
        </w:rPr>
        <w:t xml:space="preserve">	32</w:t>
      </w:r>
    </w:p>
    <w:p>
      <w:pPr>
        <w:tabs>
          <w:tab w:val="right" w:pos="9071" w:leader="dot"/>
        </w:tabs>
        <w:spacing w:after="60"/>
        <w:ind w:left="360"/>
      </w:pPr>
      <w:r>
        <w:rPr>
          <w:sz w:val="22"/>
          <w:szCs w:val="22"/>
        </w:rPr>
        <w:t xml:space="preserve">6.10. Indicadores Financeiros do Escritório</w:t>
      </w:r>
      <w:r>
        <w:rPr>
          <w:sz w:val="22"/>
          <w:szCs w:val="22"/>
        </w:rPr>
        <w:t xml:space="preserve">	33</w:t>
      </w:r>
    </w:p>
    <w:p>
      <w:pPr>
        <w:tabs>
          <w:tab w:val="right" w:pos="9071" w:leader="dot"/>
        </w:tabs>
        <w:spacing w:after="60"/>
        <w:ind w:left="360"/>
      </w:pPr>
      <w:r>
        <w:rPr>
          <w:sz w:val="22"/>
          <w:szCs w:val="22"/>
        </w:rPr>
        <w:t xml:space="preserve">6.11. Tarefas do Escritório</w:t>
      </w:r>
      <w:r>
        <w:rPr>
          <w:sz w:val="22"/>
          <w:szCs w:val="22"/>
        </w:rPr>
        <w:t xml:space="preserve">	33</w:t>
      </w:r>
    </w:p>
    <w:p>
      <w:pPr>
        <w:tabs>
          <w:tab w:val="right" w:pos="9071" w:leader="dot"/>
        </w:tabs>
        <w:spacing w:after="60"/>
        <w:ind w:left="360"/>
      </w:pPr>
      <w:r>
        <w:rPr>
          <w:sz w:val="22"/>
          <w:szCs w:val="22"/>
        </w:rPr>
        <w:t xml:space="preserve">6.12. Busca Global</w:t>
      </w:r>
      <w:r>
        <w:rPr>
          <w:sz w:val="22"/>
          <w:szCs w:val="22"/>
        </w:rPr>
        <w:t xml:space="preserve">	34</w:t>
      </w:r>
    </w:p>
    <w:p>
      <w:pPr>
        <w:tabs>
          <w:tab w:val="right" w:pos="9071" w:leader="dot"/>
        </w:tabs>
        <w:spacing w:after="60"/>
        <w:ind w:left="360"/>
      </w:pPr>
      <w:r>
        <w:rPr>
          <w:sz w:val="22"/>
          <w:szCs w:val="22"/>
        </w:rPr>
        <w:t xml:space="preserve">6.13. Central de Ajuda</w:t>
      </w:r>
      <w:r>
        <w:rPr>
          <w:sz w:val="22"/>
          <w:szCs w:val="22"/>
        </w:rPr>
        <w:t xml:space="preserve">	34</w:t>
      </w:r>
    </w:p>
    <w:p>
      <w:pPr>
        <w:tabs>
          <w:tab w:val="right" w:pos="9071" w:leader="dot"/>
        </w:tabs>
        <w:spacing w:after="60"/>
        <w:ind w:left="360"/>
      </w:pPr>
      <w:r>
        <w:rPr>
          <w:sz w:val="22"/>
          <w:szCs w:val="22"/>
        </w:rPr>
        <w:t xml:space="preserve">6.14. Perfis de Acesso e Equipe</w:t>
      </w:r>
      <w:r>
        <w:rPr>
          <w:sz w:val="22"/>
          <w:szCs w:val="22"/>
        </w:rPr>
        <w:t xml:space="preserve">	35</w:t>
      </w:r>
    </w:p>
    <w:p>
      <w:pPr>
        <w:tabs>
          <w:tab w:val="right" w:pos="9071" w:leader="dot"/>
        </w:tabs>
        <w:spacing w:after="60"/>
        <w:ind w:left="360"/>
      </w:pPr>
      <w:r>
        <w:rPr>
          <w:sz w:val="22"/>
          <w:szCs w:val="22"/>
        </w:rPr>
        <w:t xml:space="preserve">6.15. Processo em Segredo de Justiça</w:t>
      </w:r>
      <w:r>
        <w:rPr>
          <w:sz w:val="22"/>
          <w:szCs w:val="22"/>
        </w:rPr>
        <w:t xml:space="preserve">	36</w:t>
      </w:r>
    </w:p>
    <w:p>
      <w:pPr>
        <w:tabs>
          <w:tab w:val="right" w:pos="9071" w:leader="dot"/>
        </w:tabs>
        <w:spacing w:after="60"/>
        <w:ind w:left="360"/>
      </w:pPr>
      <w:r>
        <w:rPr>
          <w:sz w:val="22"/>
          <w:szCs w:val="22"/>
        </w:rPr>
        <w:t xml:space="preserve">6.16. Verificação em Duas Etapas</w:t>
      </w:r>
      <w:r>
        <w:rPr>
          <w:sz w:val="22"/>
          <w:szCs w:val="22"/>
        </w:rPr>
        <w:t xml:space="preserve">	36</w:t>
      </w:r>
    </w:p>
    <w:p>
      <w:pPr>
        <w:tabs>
          <w:tab w:val="right" w:pos="9071" w:leader="dot"/>
        </w:tabs>
        <w:spacing w:after="60"/>
        <w:ind w:left="360"/>
      </w:pPr>
      <w:r>
        <w:rPr>
          <w:sz w:val="22"/>
          <w:szCs w:val="22"/>
        </w:rPr>
        <w:t xml:space="preserve">6.17. Direitos do Titular (LGPD)</w:t>
      </w:r>
      <w:r>
        <w:rPr>
          <w:sz w:val="22"/>
          <w:szCs w:val="22"/>
        </w:rPr>
        <w:t xml:space="preserve">	38</w:t>
      </w:r>
    </w:p>
    <w:p>
      <w:pPr>
        <w:tabs>
          <w:tab w:val="right" w:pos="9071" w:leader="dot"/>
        </w:tabs>
        <w:spacing w:after="60"/>
        <w:ind w:left="360"/>
      </w:pPr>
      <w:r>
        <w:rPr>
          <w:sz w:val="22"/>
          <w:szCs w:val="22"/>
        </w:rPr>
        <w:t xml:space="preserve">6.18. Intimações do DJEN</w:t>
      </w:r>
      <w:r>
        <w:rPr>
          <w:sz w:val="22"/>
          <w:szCs w:val="22"/>
        </w:rPr>
        <w:t xml:space="preserve">	38</w:t>
      </w:r>
    </w:p>
    <w:p>
      <w:pPr>
        <w:tabs>
          <w:tab w:val="right" w:pos="9071" w:leader="dot"/>
        </w:tabs>
        <w:spacing w:after="60"/>
        <w:ind w:left="360"/>
      </w:pPr>
      <w:r>
        <w:rPr>
          <w:sz w:val="22"/>
          <w:szCs w:val="22"/>
        </w:rPr>
        <w:t xml:space="preserve">6.19. Cobrança por PIX</w:t>
      </w:r>
      <w:r>
        <w:rPr>
          <w:sz w:val="22"/>
          <w:szCs w:val="22"/>
        </w:rPr>
        <w:t xml:space="preserve">	39</w:t>
      </w:r>
    </w:p>
    <w:p>
      <w:pPr>
        <w:tabs>
          <w:tab w:val="right" w:pos="9071" w:leader="dot"/>
        </w:tabs>
        <w:spacing w:after="60"/>
        <w:ind w:left="360"/>
      </w:pPr>
      <w:r>
        <w:rPr>
          <w:sz w:val="22"/>
          <w:szCs w:val="22"/>
        </w:rPr>
        <w:t xml:space="preserve">6.20. Atualização do Cliente</w:t>
      </w:r>
      <w:r>
        <w:rPr>
          <w:sz w:val="22"/>
          <w:szCs w:val="22"/>
        </w:rPr>
        <w:t xml:space="preserve">	39</w:t>
      </w:r>
    </w:p>
    <w:p>
      <w:pPr>
        <w:tabs>
          <w:tab w:val="right" w:pos="9071" w:leader="dot"/>
        </w:tabs>
        <w:spacing w:after="60"/>
        <w:ind w:left="360"/>
      </w:pPr>
      <w:r>
        <w:rPr>
          <w:sz w:val="22"/>
          <w:szCs w:val="22"/>
        </w:rPr>
        <w:t xml:space="preserve">6.21. Quadro de Tarefas</w:t>
      </w:r>
      <w:r>
        <w:rPr>
          <w:sz w:val="22"/>
          <w:szCs w:val="22"/>
        </w:rPr>
        <w:t xml:space="preserve">	40</w:t>
      </w:r>
    </w:p>
    <w:p>
      <w:pPr>
        <w:tabs>
          <w:tab w:val="right" w:pos="9071" w:leader="dot"/>
        </w:tabs>
        <w:spacing w:after="60"/>
        <w:ind w:left="360"/>
      </w:pPr>
      <w:r>
        <w:rPr>
          <w:sz w:val="22"/>
          <w:szCs w:val="22"/>
        </w:rPr>
        <w:t xml:space="preserve">6.22. Agenda no Calendário do Celular</w:t>
      </w:r>
      <w:r>
        <w:rPr>
          <w:sz w:val="22"/>
          <w:szCs w:val="22"/>
        </w:rPr>
        <w:t xml:space="preserve">	41</w:t>
      </w:r>
    </w:p>
    <w:p>
      <w:pPr>
        <w:tabs>
          <w:tab w:val="right" w:pos="9071" w:leader="dot"/>
        </w:tabs>
        <w:spacing w:after="60"/>
        <w:ind w:left="360"/>
      </w:pPr>
      <w:r>
        <w:rPr>
          <w:sz w:val="22"/>
          <w:szCs w:val="22"/>
        </w:rPr>
        <w:t xml:space="preserve">6.23. Notificações no Celular e no Navegador</w:t>
      </w:r>
      <w:r>
        <w:rPr>
          <w:sz w:val="22"/>
          <w:szCs w:val="22"/>
        </w:rPr>
        <w:t xml:space="preserve">	41</w:t>
      </w:r>
    </w:p>
    <w:p>
      <w:pPr>
        <w:tabs>
          <w:tab w:val="right" w:pos="9071" w:leader="dot"/>
        </w:tabs>
        <w:spacing w:after="60"/>
        <w:ind w:left="360"/>
      </w:pPr>
      <w:r>
        <w:rPr>
          <w:sz w:val="22"/>
          <w:szCs w:val="22"/>
        </w:rPr>
        <w:t xml:space="preserve">6.24. Documentação da API</w:t>
      </w:r>
      <w:r>
        <w:rPr>
          <w:sz w:val="22"/>
          <w:szCs w:val="22"/>
        </w:rPr>
        <w:t xml:space="preserve">	42</w:t>
      </w:r>
    </w:p>
    <w:p>
      <w:pPr>
        <w:tabs>
          <w:tab w:val="right" w:pos="9071" w:leader="dot"/>
        </w:tabs>
        <w:spacing w:after="60"/>
        <w:ind w:left="360"/>
      </w:pPr>
      <w:r>
        <w:rPr>
          <w:sz w:val="22"/>
          <w:szCs w:val="22"/>
        </w:rPr>
        <w:t xml:space="preserve">6.25. Testes de Ponta a Ponta</w:t>
      </w:r>
      <w:r>
        <w:rPr>
          <w:sz w:val="22"/>
          <w:szCs w:val="22"/>
        </w:rPr>
        <w:t xml:space="preserve">	42</w:t>
      </w:r>
    </w:p>
    <w:p>
      <w:pPr>
        <w:tabs>
          <w:tab w:val="right" w:pos="9071" w:leader="dot"/>
        </w:tabs>
        <w:spacing w:after="60"/>
        <w:ind w:left="0"/>
      </w:pPr>
      <w:r>
        <w:rPr>
          <w:sz w:val="22"/>
          <w:szCs w:val="22"/>
        </w:rPr>
        <w:t xml:space="preserve">7. Arquitetura do Sistema</w:t>
      </w:r>
      <w:r>
        <w:rPr>
          <w:sz w:val="22"/>
          <w:szCs w:val="22"/>
        </w:rPr>
        <w:t xml:space="preserve">	43</w:t>
      </w:r>
    </w:p>
    <w:p>
      <w:pPr>
        <w:tabs>
          <w:tab w:val="right" w:pos="9071" w:leader="dot"/>
        </w:tabs>
        <w:spacing w:after="60"/>
        <w:ind w:left="360"/>
      </w:pPr>
      <w:r>
        <w:rPr>
          <w:sz w:val="22"/>
          <w:szCs w:val="22"/>
        </w:rPr>
        <w:t xml:space="preserve">7.1. Diagrama de Contexto (C4 — Nível 1)</w:t>
      </w:r>
      <w:r>
        <w:rPr>
          <w:sz w:val="22"/>
          <w:szCs w:val="22"/>
        </w:rPr>
        <w:t xml:space="preserve">	43</w:t>
      </w:r>
    </w:p>
    <w:p>
      <w:pPr>
        <w:tabs>
          <w:tab w:val="right" w:pos="9071" w:leader="dot"/>
        </w:tabs>
        <w:spacing w:after="60"/>
        <w:ind w:left="360"/>
      </w:pPr>
      <w:r>
        <w:rPr>
          <w:sz w:val="22"/>
          <w:szCs w:val="22"/>
        </w:rPr>
        <w:t xml:space="preserve">7.2. Diagrama de Containers (C4 — Nível 2)</w:t>
      </w:r>
      <w:r>
        <w:rPr>
          <w:sz w:val="22"/>
          <w:szCs w:val="22"/>
        </w:rPr>
        <w:t xml:space="preserve">	44</w:t>
      </w:r>
    </w:p>
    <w:p>
      <w:pPr>
        <w:tabs>
          <w:tab w:val="right" w:pos="9071" w:leader="dot"/>
        </w:tabs>
        <w:spacing w:after="60"/>
        <w:ind w:left="360"/>
      </w:pPr>
      <w:r>
        <w:rPr>
          <w:sz w:val="22"/>
          <w:szCs w:val="22"/>
        </w:rPr>
        <w:t xml:space="preserve">7.3. Diagrama de Componentes</w:t>
      </w:r>
      <w:r>
        <w:rPr>
          <w:sz w:val="22"/>
          <w:szCs w:val="22"/>
        </w:rPr>
        <w:t xml:space="preserve">	44</w:t>
      </w:r>
    </w:p>
    <w:p>
      <w:pPr>
        <w:tabs>
          <w:tab w:val="right" w:pos="9071" w:leader="dot"/>
        </w:tabs>
        <w:spacing w:after="60"/>
        <w:ind w:left="360"/>
      </w:pPr>
      <w:r>
        <w:rPr>
          <w:sz w:val="22"/>
          <w:szCs w:val="22"/>
        </w:rPr>
        <w:t xml:space="preserve">7.4. Integração Contínua e Qualidade</w:t>
      </w:r>
      <w:r>
        <w:rPr>
          <w:sz w:val="22"/>
          <w:szCs w:val="22"/>
        </w:rPr>
        <w:t xml:space="preserve">	45</w:t>
      </w:r>
    </w:p>
    <w:p>
      <w:pPr>
        <w:tabs>
          <w:tab w:val="right" w:pos="9071" w:leader="dot"/>
        </w:tabs>
        <w:spacing w:after="60"/>
        <w:ind w:left="0"/>
      </w:pPr>
      <w:r>
        <w:rPr>
          <w:sz w:val="22"/>
          <w:szCs w:val="22"/>
        </w:rPr>
        <w:t xml:space="preserve">8. Trabalhos Futuros</w:t>
      </w:r>
      <w:r>
        <w:rPr>
          <w:sz w:val="22"/>
          <w:szCs w:val="22"/>
        </w:rPr>
        <w:t xml:space="preserve">	45</w:t>
      </w:r>
    </w:p>
    <w:p>
      <w:pPr>
        <w:tabs>
          <w:tab w:val="right" w:pos="9071" w:leader="dot"/>
        </w:tabs>
        <w:spacing w:after="60"/>
        <w:ind w:left="0"/>
      </w:pPr>
      <w:r>
        <w:rPr>
          <w:sz w:val="22"/>
          <w:szCs w:val="22"/>
        </w:rPr>
        <w:t xml:space="preserve">9. Conclusão</w:t>
      </w:r>
      <w:r>
        <w:rPr>
          <w:sz w:val="22"/>
          <w:szCs w:val="22"/>
        </w:rPr>
        <w:t xml:space="preserve">	46</w:t>
      </w:r>
    </w:p>
    <w:p>
      <w:pPr>
        <w:tabs>
          <w:tab w:val="right" w:pos="9071" w:leader="dot"/>
        </w:tabs>
        <w:spacing w:after="60"/>
        <w:ind w:left="0"/>
      </w:pPr>
      <w:r>
        <w:rPr>
          <w:sz w:val="22"/>
          <w:szCs w:val="22"/>
        </w:rPr>
        <w:t xml:space="preserve">10. Referências Bibliográficas</w:t>
      </w:r>
      <w:r>
        <w:rPr>
          <w:sz w:val="22"/>
          <w:szCs w:val="22"/>
        </w:rPr>
        <w:t xml:space="preserve">	49</w:t>
      </w:r>
    </w:p>
    <w:p>
      <w:r>
        <w:br w:type="page"/>
      </w:r>
    </w:p>
    <w:p>
      <w:pPr>
        <w:pStyle w:val="Heading1"/>
        <w:spacing w:after="200" w:before="420"/>
      </w:pPr>
      <w:r>
        <w:rPr>
          <w:b/>
          <w:bCs/>
          <w:color w:val="1F3864"/>
          <w:sz w:val="30"/>
          <w:szCs w:val="30"/>
        </w:rPr>
        <w:t xml:space="preserve">1. Introdução</w:t>
      </w:r>
    </w:p>
    <w:p>
      <w:pPr>
        <w:pStyle w:val="Heading2"/>
        <w:spacing w:after="160" w:before="300"/>
      </w:pPr>
      <w:r>
        <w:rPr>
          <w:b/>
          <w:bCs/>
          <w:color w:val="1F3864"/>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1F3864"/>
          <w:sz w:val="25"/>
          <w:szCs w:val="25"/>
        </w:rPr>
        <w:t xml:space="preserve">1.2. Descrição da Solução</w:t>
      </w:r>
    </w:p>
    <w:p>
      <w:pPr>
        <w:spacing w:after="180" w:line="300"/>
        <w:jc w:val="both"/>
      </w:pPr>
      <w:r>
        <w:rPr>
          <w:sz w:val="22"/>
          <w:szCs w:val="22"/>
        </w:rPr>
        <w:t xml:space="preserve">A solução é uma aplicação web (LexOffice)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w:t>
      </w:r>
    </w:p>
    <w:p>
      <w:pPr>
        <w:pStyle w:val="Heading2"/>
        <w:spacing w:after="160" w:before="300"/>
      </w:pPr>
      <w:r>
        <w:rPr>
          <w:b/>
          <w:bCs/>
          <w:color w:val="1F3864"/>
          <w:sz w:val="25"/>
          <w:szCs w:val="25"/>
        </w:rPr>
        <w:t xml:space="preserve">1.3. Objetivos</w:t>
      </w:r>
    </w:p>
    <w:p>
      <w:pPr>
        <w:pStyle w:val="Heading3"/>
        <w:spacing w:after="120" w:before="220"/>
      </w:pPr>
      <w:r>
        <w:rPr>
          <w:b/>
          <w:bCs/>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1F3864"/>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de tarefas e de horas e despesas; o controle de contratos e honorários com parcelamento e cobrança por PIX; a importação de andamentos (DataJud) e de intimações (DJEN); a geração e o envio de relatórios; um assistente de inteligência artificial; notificações por e-mail e push;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1F3864"/>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1F3864"/>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Na etapa final, a verificação passou a ser contínua: a cada alteração enviada ao repositório, um fluxo de integração contínua (GitHub Actions) executa os testes da API (423 testes em Django, sobre um banco PostgreSQL efêmero), os testes de componentes da interface (193 testes em Jest e Testing Library), a análise estática do código, o build de produção, a validação da documentação OpenAPI e os testes de ponta a ponta (11 cenários em Playwright, com um navegador de verdade usando o sistema sobre um escritório de demonstração e checagem automática de acessibilidade WCAG 2 AA). Uma alteração só é incorporada à versão principal quando todas essas etapas passam.</w:t>
      </w:r>
    </w:p>
    <w:p>
      <w:pPr>
        <w:pStyle w:val="Heading1"/>
        <w:spacing w:after="200" w:before="420"/>
      </w:pPr>
      <w:r>
        <w:rPr>
          <w:b/>
          <w:bCs/>
          <w:color w:val="1F3864"/>
          <w:sz w:val="30"/>
          <w:szCs w:val="30"/>
        </w:rPr>
        <w:t xml:space="preserve">2. Modelagem de Negócio</w:t>
      </w:r>
    </w:p>
    <w:p>
      <w:pPr>
        <w:pStyle w:val="Heading2"/>
        <w:spacing w:after="160" w:before="300"/>
      </w:pPr>
      <w:r>
        <w:rPr>
          <w:b/>
          <w:bCs/>
          <w:color w:val="1F3864"/>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pelos usuários do escritório</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Planos de assinatura por escritório (gratuito, básico, profissional)</w:t>
            </w:r>
          </w:p>
        </w:tc>
      </w:tr>
    </w:tbl>
    <w:p>
      <w:pPr>
        <w:spacing w:after="240"/>
      </w:pPr>
    </w:p>
    <w:p>
      <w:pPr>
        <w:pStyle w:val="Heading2"/>
        <w:spacing w:after="160" w:before="300"/>
      </w:pPr>
      <w:r>
        <w:rPr>
          <w:b/>
          <w:bCs/>
          <w:color w:val="1F3864"/>
          <w:sz w:val="25"/>
          <w:szCs w:val="25"/>
        </w:rPr>
        <w:t xml:space="preserve">2.2. Product Backlog Priorizado</w:t>
      </w:r>
    </w:p>
    <w:p>
      <w:pPr>
        <w:spacing w:after="180" w:line="300"/>
        <w:jc w:val="both"/>
      </w:pPr>
      <w:r>
        <w:rPr>
          <w:sz w:val="22"/>
          <w:szCs w:val="22"/>
        </w:rPr>
        <w:t xml:space="preserve">O backlog abaixo consolida os requisitos funcionais priorizados ao longo do projeto, com sua estimativa de horas e o status atual de implementação. A maior parte dos itens planejados foi concluída; o único item adiado (RF05, notificação automática) está detalhado na seção 8 — Trabalhos Futuros.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notificação automática (WhatsApp/e-mail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listagem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(clientes, processos,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contratos e honorários, com parcelamento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Sistema de 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 (painel mestre)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1F3864"/>
          <w:sz w:val="30"/>
          <w:szCs w:val="30"/>
        </w:rPr>
        <w:t xml:space="preserve">3. Requisitos e Regras de Negócio</w:t>
      </w:r>
    </w:p>
    <w:p>
      <w:pPr>
        <w:pStyle w:val="Heading2"/>
        <w:spacing w:after="160" w:before="300"/>
      </w:pPr>
      <w:r>
        <w:rPr>
          <w:b/>
          <w:bCs/>
          <w:color w:val="1F3864"/>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e feriados nacionais)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Heading2"/>
        <w:spacing w:after="160" w:before="300"/>
      </w:pPr>
      <w:r>
        <w:rPr>
          <w:b/>
          <w:bCs/>
          <w:color w:val="1F3864"/>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Os dados pessoais enviados a serviços externos devem ser os mínimos necessários (LGPD, art. 6º, III): a IA recebe o primeiro nome do cliente e os andamentos do processo, nunca CPF, endereço ou contato;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Heading2"/>
        <w:spacing w:after="160" w:before="300"/>
      </w:pPr>
      <w:r>
        <w:rPr>
          <w:b/>
          <w:bCs/>
          <w:color w:val="1F3864"/>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ainda que a rotina de envio seja executada mais de uma vez no mesmo dia. O registro do envio é gravado antes do disparo, para que duas execuções simultâneas não dupliquem o aviso, e é desfeito caso o envio falhe, para que uma indisponibilidade do servidor de e-mail não faça o lembrete ser perdido em silêncio.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Feriados estaduais e municipais não entram no cálculo, o que é informado na tela.</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pStyle w:val="Heading1"/>
        <w:spacing w:after="200" w:before="420"/>
      </w:pPr>
      <w:r>
        <w:rPr>
          <w:b/>
          <w:bCs/>
          <w:color w:val="1F3864"/>
          <w:sz w:val="30"/>
          <w:szCs w:val="30"/>
        </w:rPr>
        <w:t xml:space="preserve">4. Modelagem de Sistemas</w:t>
      </w:r>
    </w:p>
    <w:p>
      <w:pPr>
        <w:pStyle w:val="Heading2"/>
        <w:spacing w:after="160" w:before="300"/>
      </w:pPr>
      <w:r>
        <w:rPr>
          <w:b/>
          <w:bCs/>
          <w:color w:val="1F3864"/>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80" w:before="200"/>
        <w:jc w:val="center"/>
      </w:pPr>
      <w:r>
        <w:drawing>
          <wp:inline distT="0" distB="0" distL="0" distR="0">
            <wp:extent cx="4572000" cy="901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9010650"/>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1F3864"/>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1F3864"/>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80" w:before="200"/>
        <w:jc w:val="center"/>
      </w:pPr>
      <w:r>
        <w:drawing>
          <wp:inline distT="0" distB="0" distL="0" distR="0">
            <wp:extent cx="4476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162300"/>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1F3864"/>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1F3864"/>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80" w:before="200"/>
        <w:jc w:val="center"/>
      </w:pPr>
      <w:r>
        <w:drawing>
          <wp:inline distT="0" distB="0" distL="0" distR="0">
            <wp:extent cx="4476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086225"/>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1F3864"/>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capturas foram refeitas após uma revisão de identidade visual da interface, na qual o sistema recebeu uma marca própria (em substituição a um ícone de biblioteca), a cor de destaque passou a sinalizar exclusivamente as ações primárias — e não mais elementos informativos —, os selos de situação passaram a diferenciar cada estado por cor, e as ações repetidas nas listagens foram convertidas em botões de ícone, reduzindo o peso visual da coluna de ações diante dos dados de cada registro.</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1F3864"/>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1F3864"/>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1F3864"/>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spacing w:after="80" w:before="20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952500"/>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1F3864"/>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1F3864"/>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1F3864"/>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1F3864"/>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spacing w:after="80" w:before="200"/>
        <w:jc w:val="center"/>
      </w:pPr>
      <w:r>
        <w:drawing>
          <wp:inline distT="0" distB="0" distL="0" distR="0">
            <wp:extent cx="4572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90675"/>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1F3864"/>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1F3864"/>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spacing w:after="80" w:before="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028825"/>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1F3864"/>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spacing w:after="80" w:before="20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1049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1F3864"/>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1F3864"/>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spacing w:after="80" w:before="200"/>
        <w:jc w:val="center"/>
      </w:pPr>
      <w:r>
        <w:drawing>
          <wp:inline distT="0" distB="0" distL="0" distR="0">
            <wp:extent cx="3143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5527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1F3864"/>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spacing w:after="80" w:before="20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695575"/>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1F3864"/>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1F3864"/>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1F3864"/>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Ativação da verificação em duas etapas</w:t>
      </w:r>
    </w:p>
    <w:p>
      <w:pPr>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1F3864"/>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1F3864"/>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foi feita contra um servidor que reproduz o formato de resposta da consulta pública do DJEN, já que o ambiente de desenvolvimento não alcança o serviço do CNJ.</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1F3864"/>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segue o padrão BR Code do Banco Central e foi conferido contra o exemplo do manual oficial nos testes automatizados.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PIX de uma parcela de honorários</w:t>
      </w:r>
    </w:p>
    <w:p>
      <w:pPr>
        <w:pStyle w:val="Heading2"/>
        <w:spacing w:after="160" w:before="300"/>
      </w:pPr>
      <w:r>
        <w:rPr>
          <w:b/>
          <w:bCs/>
          <w:color w:val="1F3864"/>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1F3864"/>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1F3864"/>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1F3864"/>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Ativação das notificações push</w:t>
      </w:r>
    </w:p>
    <w:p>
      <w:pPr>
        <w:pStyle w:val="Heading2"/>
        <w:spacing w:after="160" w:before="300"/>
      </w:pPr>
      <w:r>
        <w:rPr>
          <w:b/>
          <w:bCs/>
          <w:color w:val="1F3864"/>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1F3864"/>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Eles rodam na integração contínua a cada alteração, junto com os 423 testes da API e os 193 testes de componentes (RNF19).</w:t>
      </w:r>
    </w:p>
    <w:p>
      <w:pPr>
        <w:spacing w:after="80" w:before="20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3276600"/>
                    </a:xfrm>
                    <a:prstGeom prst="rect">
                      <a:avLst/>
                    </a:prstGeom>
                  </pic:spPr>
                </pic:pic>
              </a:graphicData>
            </a:graphic>
          </wp:inline>
        </w:drawing>
      </w:r>
    </w:p>
    <w:p>
      <w:pPr>
        <w:spacing w:after="240"/>
        <w:jc w:val="center"/>
      </w:pPr>
      <w:r>
        <w:rPr>
          <w:i/>
          <w:iCs/>
          <w:color w:val="555555"/>
          <w:sz w:val="20"/>
          <w:szCs w:val="20"/>
        </w:rPr>
        <w:t xml:space="preserve">Figura 32 – Relatório dos testes de ponta a ponta (Playwright)</w:t>
      </w:r>
    </w:p>
    <w:p>
      <w:pPr>
        <w:pStyle w:val="Heading1"/>
        <w:spacing w:after="200" w:before="420"/>
      </w:pPr>
      <w:r>
        <w:rPr>
          <w:b/>
          <w:bCs/>
          <w:color w:val="1F3864"/>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1F3864"/>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e com os aplicativos de agenda, que assinam o calendário do escritório. A automação via n8n, prevista originalmente, permanece adiada.</w:t>
      </w:r>
    </w:p>
    <w:p>
      <w:pPr>
        <w:spacing w:after="80" w:before="20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1962150"/>
                    </a:xfrm>
                    <a:prstGeom prst="rect">
                      <a:avLst/>
                    </a:prstGeom>
                  </pic:spPr>
                </pic:pic>
              </a:graphicData>
            </a:graphic>
          </wp:inline>
        </w:drawing>
      </w:r>
    </w:p>
    <w:p>
      <w:pPr>
        <w:spacing w:after="240"/>
        <w:jc w:val="center"/>
      </w:pPr>
      <w:r>
        <w:rPr>
          <w:i/>
          <w:iCs/>
          <w:color w:val="555555"/>
          <w:sz w:val="20"/>
          <w:szCs w:val="20"/>
        </w:rPr>
        <w:t xml:space="preserve">Figura 33 – Diagrama de Contexto (C4 – Nível 1)</w:t>
      </w:r>
    </w:p>
    <w:p>
      <w:pPr>
        <w:pStyle w:val="Heading2"/>
        <w:spacing w:after="160" w:before="300"/>
      </w:pPr>
      <w:r>
        <w:rPr>
          <w:b/>
          <w:bCs/>
          <w:color w:val="1F3864"/>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34 – Diagrama de Containers (C4 – Nível 2)</w:t>
      </w:r>
    </w:p>
    <w:p>
      <w:pPr>
        <w:pStyle w:val="Heading2"/>
        <w:spacing w:after="160" w:before="300"/>
      </w:pPr>
      <w:r>
        <w:rPr>
          <w:b/>
          <w:bCs/>
          <w:color w:val="1F3864"/>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e IA. Os modelos do Django ORM fazem a comunicação com o PostgreSQL. Os testes do backend seguem a mesma divisão por assunto.</w:t>
      </w:r>
    </w:p>
    <w:p>
      <w:pPr>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35 – Diagrama de Componentes – Backend (Django)</w:t>
      </w:r>
    </w:p>
    <w:p>
      <w:pPr>
        <w:pStyle w:val="Heading2"/>
        <w:spacing w:after="160" w:before="300"/>
      </w:pPr>
      <w:r>
        <w:rPr>
          <w:b/>
          <w:bCs/>
          <w:color w:val="1F3864"/>
          <w:sz w:val="25"/>
          <w:szCs w:val="25"/>
        </w:rPr>
        <w:t xml:space="preserve">7.4. Integração Contínua e Qualidade</w:t>
      </w:r>
    </w:p>
    <w:p>
      <w:pPr>
        <w:spacing w:after="180" w:line="300"/>
        <w:jc w:val="both"/>
      </w:pPr>
      <w:r>
        <w:rPr>
          <w:sz w:val="22"/>
          <w:szCs w:val="22"/>
        </w:rPr>
        <w:t xml:space="preserve">Cada alteração enviada ao repositório dispara três trabalhos em paralelo no GitHub Actions. O do backend sobe um PostgreSQL efêmero e executa os 423 testes da API, a checagem de integridade do projeto, a validação da documentação OpenAPI, a checagem de segurança da configuração de produção e a auditoria de dependências. O do frontend executa a análise estática do código sem nenhum aviso tolerado, os 193 testes de componentes e o build de produção. O de ponta a ponta sobe o sistema inteiro — banco, API e frontend — sobre o escritório de demonstração e executa os 11 cenários do Playwright, publicando o relatório e os registros em caso de falha. A versão principal só recebe alterações com os três trabalhos aprovados.</w:t>
      </w:r>
    </w:p>
    <w:p>
      <w:pPr>
        <w:pStyle w:val="Heading1"/>
        <w:spacing w:after="200" w:before="420"/>
      </w:pPr>
      <w:r>
        <w:rPr>
          <w:b/>
          <w:bCs/>
          <w:color w:val="1F3864"/>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Calendário de feriados estaduais e municipais por comarca no cálculo de prazos, hoje restrito aos feriados nacionais e ao recesso forense;</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1F3864"/>
          <w:sz w:val="30"/>
          <w:szCs w:val="30"/>
        </w:rPr>
        <w:t xml:space="preserve">9. Conclusão</w:t>
      </w:r>
    </w:p>
    <w:p>
      <w:pPr>
        <w:spacing w:after="180" w:line="300"/>
        <w:jc w:val="both"/>
      </w:pPr>
      <w:r>
        <w:rPr>
          <w:sz w:val="22"/>
          <w:szCs w:val="22"/>
        </w:rPr>
        <w:t xml:space="preserve">O projeto evoluiu significativamente desde a proposta inicial: além da migração da stack tecnológica (Django/Python no lugar de Node.js, PostgreSQL/Supabase no lugar de MySQL), foram incorporadas funcionalidades que se mostraram necessárias durante o desenvolvimento — controle de contratos e honorários, bloqueio de login por tentativas inválidas, filtros de busca, agenda com diferenciação entre compromissos e prazos, e um painel administrativo da plataforma. Essas mudanças, discutidas e aprovadas internamente pela dupla, também motivaram a revisão dos diagramas de casos de uso, de classes e de banco de dados apresentados neste relatório, corrigindo inconsistências identificadas na avaliação anterior (uso de casos de uso genéricos, ausência de herança entre atores, e o tratamento indevido de "Relatório" como uma entidade em vez de um comportamento das classes de domínio).</w:t>
      </w:r>
    </w:p>
    <w:p>
      <w:pPr>
        <w:spacing w:after="180" w:line="300"/>
        <w:jc w:val="both"/>
      </w:pPr>
      <w:r>
        <w:rPr>
          <w:sz w:val="22"/>
          <w:szCs w:val="22"/>
        </w:rPr>
        <w:t xml:space="preserve">Em uma revisão final, o sistema recebeu um conjunto de melhorias de segurança e de completude do domínio: um registro de auditoria (RF18) que documenta quem acessou o sistema e quem criou, editou ou excluiu cada dado, redefinição de senha por e-mail (RF19), limitação de taxa de requisições em endpoints sensíveis a abuso, validação de tamanho e extensão de arquivos enviados, paginação das listagens da API e a parametrização de configurações sensíveis (chave secreta, modo de depuração e hosts permitidos) por variável de ambiente — itens tratados como requisitos não funcionais de segurança (RNF07, RNF08) e regras de negócio (RN10, RN11) deste relatório.</w:t>
      </w:r>
    </w:p>
    <w:p>
      <w:pPr>
        <w:spacing w:after="180" w:line="300"/>
        <w:jc w:val="both"/>
      </w:pPr>
      <w:r>
        <w:rPr>
          <w:sz w:val="22"/>
          <w:szCs w:val="22"/>
        </w:rPr>
        <w:t xml:space="preserve">Duas rodadas adicionais de ajustes trataram, respectivamente, do reforço da camada de autenticação e da completude do domínio jurídico. Na primeira, foram corrigidos dois defeitos identificados no uso real do sistema: a sessão do usuário caía sozinha poucos minutos depois do login (o token de acesso expirava e não era renovado automaticamente) e o logout não encerrava a sessão de fato no servidor. Além disso, o auto-cadastro de um novo escritório passou a exigir confirmação de e-mail em produção (RF20, RN12). Na segunda, o sistema passou a calcular automaticamente a data final de um prazo processual em dias úteis, considerando os feriados nacionais — inclusive os móveis, calculados a partir da Páscoa (RF22, RN14) —, e o cadastro de processo passou a registrar dados jurídicos até então ausentes: área do direito, vara, comarca, valor da causa, parte contrária e uma estimativa de honorários de sucumbência (RF23, RF24, RN15).</w:t>
      </w:r>
    </w:p>
    <w:p>
      <w:pPr>
        <w:spacing w:after="180" w:line="300"/>
        <w:jc w:val="both"/>
      </w:pPr>
      <w:r>
        <w:rPr>
          <w:sz w:val="22"/>
          <w:szCs w:val="22"/>
        </w:rPr>
        <w:t xml:space="preserve">Uma última rodada partiu de um estudo comparativo com os sistemas de gestão jurídica em uso no mercado brasileiro — entre eles Astrea, Projuris ADV, ADVBOX, SAJ ADV e Legal One —, com o objetivo de identificar lacunas relevantes para a rotina de um escritório. Quatro delas foram tratadas. A primeira foi a de que as preferências de notificação eram armazenadas mas nunca lidas: o sistema passou a enviar de fato os lembretes de prazo e o resumo semanal (RF25), com controle de idempotência para não duplicar avisos (RN16). A segunda tratou do módulo financeiro, que oferecia o honorário por hora sem oferecer onde registrar horas: entraram o apontamento de horas trabalhadas, o lançamento de custas e despesas reembolsáveis e a medição do tempo de uso do sistema (RF26 a RF28). A terceira incorporou a consulta processual automática à API pública do DataJud, do Conselho Nacional de Justiça (RF29), recurso central nos sistemas comparados e viabilizado por ser uma base pública e gratuita. A quarta introduziu os modelos de documento preenchidos automaticamente a partir do cadastro (RF30), aproveitando dados do cliente que já eram coletados e pouco utilizados.</w:t>
      </w:r>
    </w:p>
    <w:p>
      <w:pPr>
        <w:spacing w:after="180" w:line="300"/>
        <w:jc w:val="both"/>
      </w:pPr>
      <w:r>
        <w:rPr>
          <w:sz w:val="22"/>
          <w:szCs w:val="22"/>
        </w:rPr>
        <w:t xml:space="preserve">Vale registrar um aprendizado de método. Três das quatro lacunas acima não eram funcionalidades ausentes, e sim promessas em aberto: a tela de preferências oferecia lembretes que nunca eram enviados, o contrato oferecia honorário por hora sem permitir registrar horas, e o encerramento de sessão não encerrava a sessão no servidor. Revisar criticamente o que já havia sido construído revelou-se tão produtivo quanto acrescentar funcionalidades novas, e sugere que a verificação do que o sistema promete ao usuário deveria integrar o próprio ciclo de desenvolvimento, e não apenas a etapa final de testes. A etapa seguinte confirmou o padrão e ampliou o aprendizado: os relatórios não mostravam contratos, horas e despesas porque haviam sido escritos antes desses módulos existirem, e o campo de situação "atrasado" de uma parcela nunca era atribuído por rotina alguma. Em ambos os casos, o defeito não estava em código incorreto, e sim em código correto que deixou de acompanhar o crescimento do sistema — algo que nenhum teste automatizado existente acusaria, porque cada parte, isoladamente, funcionava como esperado.</w:t>
      </w:r>
    </w:p>
    <w:p>
      <w:pPr>
        <w:spacing w:after="180" w:line="300"/>
        <w:jc w:val="both"/>
      </w:pPr>
      <w:r>
        <w:rPr>
          <w:sz w:val="22"/>
          <w:szCs w:val="22"/>
        </w:rPr>
        <w:t xml:space="preserve">Uma etapa final partiu de uma revisão crítica do sistema já construído, e não de comparação com o mercado. Cinco melhorias foram implementadas. A sincronização com o DataJud, que dependia de acionamento manual processo a processo, passou a ser periódica e automática, restrita aos processos que ainda recebem movimentação e com aviso por e-mail quando surge andamento novo (RF31/RN21). Os relatórios de cliente e de processo, escritos antes da existência dos módulos de contrato, horas e despesas, passaram a apresentá-los, com um resumo financeiro consolidado (RF32/RN22). O painel inicial, que exibia apenas contagens, ganhou os indicadores financeiros do escritório (RF33/RN23). Foi criada a entidade Tarefa, para o trabalho interno que não tem hora marcada e que a agenda não comportava (RF34/RN24). E o sistema passou a ser instalável como aplicativo, com tela própria de indisponibilidade (RF35/RN25).</w:t>
      </w:r>
    </w:p>
    <w:p>
      <w:pPr>
        <w:spacing w:after="180" w:line="300"/>
        <w:jc w:val="both"/>
      </w:pPr>
      <w:r>
        <w:rPr>
          <w:sz w:val="22"/>
          <w:szCs w:val="22"/>
        </w:rPr>
        <w:t xml:space="preserve">Duas decisões dessa etapa merecem registro por envolverem escolhas de projeto, e não apenas implementação. A primeira é que o mecanismo de funcionamento offline não armazena nenhuma resposta da API no dispositivo (RNF12): sendo o sistema multi-escritório e autenticado por token, um armazenamento local exibiria dados de um escritório a quem usasse o mesmo aparelho em seguida e, em um sistema de prazos, apresentar informação desatualizada como se fosse atual é pior do que não apresentar informação alguma. A segunda é que a apuração de parcelas vencidas compara a data de vencimento com o dia da consulta, em vez de confiar no campo de situação da parcela: o modelo prevê a situação "atrasado", mas nenhuma rotina do sistema a atribui, de modo que o indicador apoiado nesse campo exibiria sempre zero (RN23).</w:t>
      </w:r>
    </w:p>
    <w:p>
      <w:pPr>
        <w:spacing w:after="180" w:line="300"/>
        <w:jc w:val="both"/>
      </w:pPr>
      <w:r>
        <w:rPr>
          <w:sz w:val="22"/>
          <w:szCs w:val="22"/>
        </w:rPr>
        <w:t xml:space="preserve">Na sequência, o sistema recebeu uma revisão de interface orientada ao uso. Verificou-se que um mesmo estado de processo era representado por cores diferentes conforme a tela — verde no indicador de uma tabela e azul no gráfico do painel —, e que a cor das fatias do gráfico derivava da posição na lista, e não da identidade do estado, de modo que um escritório sem processos suspensos fazia um estado herdar a cor de outro. A correção centralizou a definição de rótulo, indicador e cor em um único ponto do código e adotou uma paleta por tema, verificada quanto à separação sob protanopia, deuteranopia e tritanopia e quanto ao contraste em relação ao fundo (RNF13/RNF14). Somaram-se a isso uma central de ajuda contextual (RF36) e a ampliação da busca global para todas as áreas do sistema (RF37).</w:t>
      </w:r>
    </w:p>
    <w:p>
      <w:pPr>
        <w:spacing w:after="180" w:line="300"/>
        <w:jc w:val="both"/>
      </w:pPr>
      <w:r>
        <w:rPr>
          <w:sz w:val="22"/>
          <w:szCs w:val="22"/>
        </w:rPr>
        <w:t xml:space="preserve">A etapa final concentrou-se em três frentes. A primeira foi a segurança e a privacidade: o acesso passou a ser controlado por perfis — administrador, advogado, estagiário, financeiro e secretária —, com uma única matriz de permissões aplicada pela API e refletida na interface (RF38/RN26); processos em segredo de justiça ficaram restritos ao administrador e ao advogado responsável em todas as partes do sistema (RF40/RN27); o login ganhou verificação em duas etapas (RF41/RN28); e os direitos do titular previstos na LGPD — consentimento, portabilidade e anonimização — foram implementados (RF42/RN29). Antes disso, a configuração de produção havia sido endurecida, a sessão passou a renovar e revogar tokens a cada uso, a interface foi adaptada ao celular e as telas principais passaram a cumprir as regras de acessibilidade WCAG 2 AA.</w:t>
      </w:r>
    </w:p>
    <w:p>
      <w:pPr>
        <w:spacing w:after="180" w:line="300"/>
        <w:jc w:val="both"/>
      </w:pPr>
      <w:r>
        <w:rPr>
          <w:sz w:val="22"/>
          <w:szCs w:val="22"/>
        </w:rPr>
        <w:t xml:space="preserve">A segunda frente trouxe funcionalidades ligadas à rotina do escritório. A mais relevante é a importação das intimações do DJEN com o prazo lançado na agenda (RF47): ela fecha a lacuna registrada na etapa anterior, quando se constatou que o DataJud não traz o texto das publicações, e exigiu codificar regras processuais precisas — publicação no dia útil seguinte à disponibilização, contagem a partir do dia útil seguinte, suspensão no recesso de fim de ano e prorrogação do vencimento que cai em dia sem expediente (RN30). Somaram-se a cobrança por PIX de cada parcela (RF45), a atualização do andamento em linguagem simples para o cliente (RF46), o quadro de tarefas (RF44), a agenda no calendário do celular (RF43) e as notificações push (RF48). Em todas, a decisão de projeto foi manter o advogado no controle: a mensagem ao cliente é revisada antes do envio, o prazo sem número expresso aparece como estimado e o PIX estático não pretende confirmar o pagamento sozinho.</w:t>
      </w:r>
    </w:p>
    <w:p>
      <w:pPr>
        <w:spacing w:after="180" w:line="300"/>
        <w:jc w:val="both"/>
      </w:pPr>
      <w:r>
        <w:rPr>
          <w:sz w:val="22"/>
          <w:szCs w:val="22"/>
        </w:rPr>
        <w:t xml:space="preserve">A terceira frente foi a de evidências. O sistema passou a ser verificado a cada alteração por testes em três níveis — 423 testes da API, 193 testes de componentes e 11 cenários de ponta a ponta com checagem de acessibilidade —, a API ganhou documentação OpenAPI validada automaticamente, e os dois maiores arquivos do backend, com 3.700 e 6.000 linhas, foram divididos por assunto sem alteração de comportamento. A integração contínua mostrou o seu valor de imediato: um teste que passava no ambiente de desenvolvimento, sem acesso à rede, falhou na primeira execução no servidor, porque lá o validador de e-mail consultava o domínio de verdade. O defeito estava no teste, e não no sistema, mas só foi encontrado porque a verificação passou a rodar em um ambiente diferente do de quem escreveu o código.</w:t>
      </w:r>
    </w:p>
    <w:p>
      <w:pPr>
        <w:spacing w:after="180" w:line="300"/>
        <w:jc w:val="both"/>
      </w:pPr>
      <w:r>
        <w:rPr>
          <w:sz w:val="22"/>
          <w:szCs w:val="22"/>
        </w:rPr>
        <w:t xml:space="preserve">O principal desafio permanece sendo o gerenciamento do tempo e a integração entre as tecnologias escolhidas, especialmente diante da entrada de novas funcionalidades ao longo do semestre. Os itens listados na seção 8 indicam os próximos passos naturais do projeto, caso seu desenvolvimento continue além do TCC.</w:t>
      </w:r>
    </w:p>
    <w:p>
      <w:pPr>
        <w:pStyle w:val="Heading1"/>
        <w:spacing w:after="200" w:before="420"/>
      </w:pPr>
      <w:r>
        <w:rPr>
          <w:b/>
          <w:bCs/>
          <w:color w:val="1F3864"/>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0ee9a9dc4f2d8628f3782c75f5eb5fc161251583.png"/><Relationship Id="rId11" Type="http://schemas.openxmlformats.org/officeDocument/2006/relationships/image" Target="media/30b9b5ca905a5f88fa2c82fd827d3854a6553159.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b188cdb998afc2a9f7f241f1ac1612ec663f89fc.png"/><Relationship Id="rId15" Type="http://schemas.openxmlformats.org/officeDocument/2006/relationships/image" Target="media/e220b01319d04437f197b5fd42c879a49dc34ea9.png"/><Relationship Id="rId16" Type="http://schemas.openxmlformats.org/officeDocument/2006/relationships/image" Target="media/c8b9ba75a16cc15bbb12eb10b77ff8da69e7e7ae.png"/><Relationship Id="rId17" Type="http://schemas.openxmlformats.org/officeDocument/2006/relationships/image" Target="media/6157bfbe759171e2003fa557ed208486fd38381b.png"/><Relationship Id="rId18" Type="http://schemas.openxmlformats.org/officeDocument/2006/relationships/image" Target="media/8b8e82a715375551c8abed2c38491a06602d39bd.png"/><Relationship Id="rId19" Type="http://schemas.openxmlformats.org/officeDocument/2006/relationships/image" Target="media/9a18e2d0b65ef35df8a77ddf7ca09bd87dd33c45.png"/><Relationship Id="rId20" Type="http://schemas.openxmlformats.org/officeDocument/2006/relationships/image" Target="media/5d2046adc125c08888fd550b5cb16eedf1ff436f.png"/><Relationship Id="rId21" Type="http://schemas.openxmlformats.org/officeDocument/2006/relationships/image" Target="media/c98a3c8eb7377b4349f0a6c44a5d80f5368ad71a.png"/><Relationship Id="rId22" Type="http://schemas.openxmlformats.org/officeDocument/2006/relationships/image" Target="media/d32e36551f44689c7c0e112bb83ce2ff9ba06586.png"/><Relationship Id="rId23" Type="http://schemas.openxmlformats.org/officeDocument/2006/relationships/image" Target="media/008be91c554c7c6aa3d7e27c8aec497eab586eab.png"/><Relationship Id="rId24" Type="http://schemas.openxmlformats.org/officeDocument/2006/relationships/image" Target="media/be4039fa969c748b975bbb851f50d45f7517aa21.png"/><Relationship Id="rId25" Type="http://schemas.openxmlformats.org/officeDocument/2006/relationships/image" Target="media/db66f39d801b8bb831b041feec3aef058f6abb02.png"/><Relationship Id="rId26" Type="http://schemas.openxmlformats.org/officeDocument/2006/relationships/image" Target="media/06147c4d57072b6a3d561862f58490bce29b7fa6.png"/><Relationship Id="rId27" Type="http://schemas.openxmlformats.org/officeDocument/2006/relationships/image" Target="media/1612ad911ca2738b6cad14f5a88b9d1a908f1f7b.png"/><Relationship Id="rId28" Type="http://schemas.openxmlformats.org/officeDocument/2006/relationships/image" Target="media/ffcc95fce2a1cee0c290e026033afce04064629b.png"/><Relationship Id="rId29" Type="http://schemas.openxmlformats.org/officeDocument/2006/relationships/image" Target="media/e5ebb33c61a44713b1ce2695acb4e148a75d3a88.png"/><Relationship Id="rId30" Type="http://schemas.openxmlformats.org/officeDocument/2006/relationships/image" Target="media/760484d35bc5c90c5285d77076f0beb3c1bb3fe9.png"/><Relationship Id="rId31" Type="http://schemas.openxmlformats.org/officeDocument/2006/relationships/image" Target="media/351ef9244425f28c6b9c691a7ba2e6ab0e719c2c.png"/><Relationship Id="rId32" Type="http://schemas.openxmlformats.org/officeDocument/2006/relationships/image" Target="media/09e15578c166a34f324ada528eb1a8785106d998.png"/><Relationship Id="rId33" Type="http://schemas.openxmlformats.org/officeDocument/2006/relationships/image" Target="media/6aed59751954b2de17b2095023a75949730f34ae.png"/><Relationship Id="rId34" Type="http://schemas.openxmlformats.org/officeDocument/2006/relationships/image" Target="media/3ca15f7a7bc2ef89c0b57441c808fa1446dfa317.png"/><Relationship Id="rId35" Type="http://schemas.openxmlformats.org/officeDocument/2006/relationships/image" Target="media/1b331478b53412fcc6c5fe086ff4b0163464d7fc.png"/><Relationship Id="rId36" Type="http://schemas.openxmlformats.org/officeDocument/2006/relationships/image" Target="media/914a4f4ce61077e7607943c8b5fd6ec7274a9548.png"/><Relationship Id="rId37" Type="http://schemas.openxmlformats.org/officeDocument/2006/relationships/image" Target="media/9099009e675425bc8e93b3d764e4ca4b35942a53.png"/><Relationship Id="rId38" Type="http://schemas.openxmlformats.org/officeDocument/2006/relationships/image" Target="media/d5f995c7114526ede66b4ba1010567b5c1f965e0.png"/><Relationship Id="rId39" Type="http://schemas.openxmlformats.org/officeDocument/2006/relationships/image" Target="media/a8bd6e6b078408855bbea9099c83e62534929c7b.png"/><Relationship Id="rId40" Type="http://schemas.openxmlformats.org/officeDocument/2006/relationships/image" Target="media/fc8bcadc9574a8396f27b0df48f50c44977412af.png"/><Relationship Id="rId41" Type="http://schemas.openxmlformats.org/officeDocument/2006/relationships/image" Target="media/f5dac57e00fa7739e698d858cf6d90d9b7748bd1.png"/><Relationship Id="rId42" Type="http://schemas.openxmlformats.org/officeDocument/2006/relationships/image" Target="media/fc551496caadcae629542c59c395ef10548284d8.png"/><Relationship Id="rId43" Type="http://schemas.openxmlformats.org/officeDocument/2006/relationships/image" Target="media/b6a755e079f53c9fae4e3777e87d9e30093bb70a.png"/><Relationship Id="rId44" Type="http://schemas.openxmlformats.org/officeDocument/2006/relationships/image" Target="media/6112a58a00c9592f77959368c186e5d163434c60.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2026-10-07T11:30:25.278Z</dcterms:created>
  <dcterms:modified xsi:type="dcterms:W3CDTF">2026-10-07T11:30:25.278Z</dcterms:modified>
</cp:coreProperties>
</file>

<file path=docProps/custom.xml><?xml version="1.0" encoding="utf-8"?>
<Properties xmlns="http://schemas.openxmlformats.org/officeDocument/2006/custom-properties" xmlns:vt="http://schemas.openxmlformats.org/officeDocument/2006/docPropsVTypes"/>
</file>