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e a exportar a agenda para aplicativos de calendário. O funcionamento é verificado por testes automatizados em três níveis — API, componentes de interface e ponta a ponta, este último com checagem de acessibilidade —, executados a cada alteração em integração contínua, e a API é documentada no padrão OpenAPI.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27</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32</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34</w:t>
      </w:r>
    </w:p>
    <w:p>
      <w:pPr>
        <w:tabs>
          <w:tab w:val="right" w:pos="9071" w:leader="dot"/>
        </w:tabs>
        <w:spacing w:after="60"/>
        <w:ind w:left="360"/>
      </w:pPr>
      <w:r>
        <w:rPr>
          <w:sz w:val="22"/>
          <w:szCs w:val="22"/>
        </w:rPr>
        <w:t xml:space="preserve">6.8. Consulta Processual no DataJud</w:t>
      </w:r>
      <w:r>
        <w:rPr>
          <w:sz w:val="22"/>
          <w:szCs w:val="22"/>
        </w:rPr>
        <w:t xml:space="preserve">	34</w:t>
      </w:r>
    </w:p>
    <w:p>
      <w:pPr>
        <w:tabs>
          <w:tab w:val="right" w:pos="9071" w:leader="dot"/>
        </w:tabs>
        <w:spacing w:after="60"/>
        <w:ind w:left="360"/>
      </w:pPr>
      <w:r>
        <w:rPr>
          <w:sz w:val="22"/>
          <w:szCs w:val="22"/>
        </w:rPr>
        <w:t xml:space="preserve">6.9. Modelos de Documento</w:t>
      </w:r>
      <w:r>
        <w:rPr>
          <w:sz w:val="22"/>
          <w:szCs w:val="22"/>
        </w:rPr>
        <w:t xml:space="preserve">	34</w:t>
      </w:r>
    </w:p>
    <w:p>
      <w:pPr>
        <w:tabs>
          <w:tab w:val="right" w:pos="9071" w:leader="dot"/>
        </w:tabs>
        <w:spacing w:after="60"/>
        <w:ind w:left="360"/>
      </w:pPr>
      <w:r>
        <w:rPr>
          <w:sz w:val="22"/>
          <w:szCs w:val="22"/>
        </w:rPr>
        <w:t xml:space="preserve">6.10. Indicadores Financeiros do Escritório</w:t>
      </w:r>
      <w:r>
        <w:rPr>
          <w:sz w:val="22"/>
          <w:szCs w:val="22"/>
        </w:rPr>
        <w:t xml:space="preserve">	35</w:t>
      </w:r>
    </w:p>
    <w:p>
      <w:pPr>
        <w:tabs>
          <w:tab w:val="right" w:pos="9071" w:leader="dot"/>
        </w:tabs>
        <w:spacing w:after="60"/>
        <w:ind w:left="360"/>
      </w:pPr>
      <w:r>
        <w:rPr>
          <w:sz w:val="22"/>
          <w:szCs w:val="22"/>
        </w:rPr>
        <w:t xml:space="preserve">6.11. Tarefas do Escritório</w:t>
      </w:r>
      <w:r>
        <w:rPr>
          <w:sz w:val="22"/>
          <w:szCs w:val="22"/>
        </w:rPr>
        <w:t xml:space="preserve">	35</w:t>
      </w:r>
    </w:p>
    <w:p>
      <w:pPr>
        <w:tabs>
          <w:tab w:val="right" w:pos="9071" w:leader="dot"/>
        </w:tabs>
        <w:spacing w:after="60"/>
        <w:ind w:left="360"/>
      </w:pPr>
      <w:r>
        <w:rPr>
          <w:sz w:val="22"/>
          <w:szCs w:val="22"/>
        </w:rPr>
        <w:t xml:space="preserve">6.12. Busca Global</w:t>
      </w:r>
      <w:r>
        <w:rPr>
          <w:sz w:val="22"/>
          <w:szCs w:val="22"/>
        </w:rPr>
        <w:t xml:space="preserve">	36</w:t>
      </w:r>
    </w:p>
    <w:p>
      <w:pPr>
        <w:tabs>
          <w:tab w:val="right" w:pos="9071" w:leader="dot"/>
        </w:tabs>
        <w:spacing w:after="60"/>
        <w:ind w:left="360"/>
      </w:pPr>
      <w:r>
        <w:rPr>
          <w:sz w:val="22"/>
          <w:szCs w:val="22"/>
        </w:rPr>
        <w:t xml:space="preserve">6.13. Central de Ajuda</w:t>
      </w:r>
      <w:r>
        <w:rPr>
          <w:sz w:val="22"/>
          <w:szCs w:val="22"/>
        </w:rPr>
        <w:t xml:space="preserve">	36</w:t>
      </w:r>
    </w:p>
    <w:p>
      <w:pPr>
        <w:tabs>
          <w:tab w:val="right" w:pos="9071" w:leader="dot"/>
        </w:tabs>
        <w:spacing w:after="60"/>
        <w:ind w:left="360"/>
      </w:pPr>
      <w:r>
        <w:rPr>
          <w:sz w:val="22"/>
          <w:szCs w:val="22"/>
        </w:rPr>
        <w:t xml:space="preserve">6.14. Perfis de Acesso e Equipe</w:t>
      </w:r>
      <w:r>
        <w:rPr>
          <w:sz w:val="22"/>
          <w:szCs w:val="22"/>
        </w:rPr>
        <w:t xml:space="preserve">	37</w:t>
      </w:r>
    </w:p>
    <w:p>
      <w:pPr>
        <w:tabs>
          <w:tab w:val="right" w:pos="9071" w:leader="dot"/>
        </w:tabs>
        <w:spacing w:after="60"/>
        <w:ind w:left="360"/>
      </w:pPr>
      <w:r>
        <w:rPr>
          <w:sz w:val="22"/>
          <w:szCs w:val="22"/>
        </w:rPr>
        <w:t xml:space="preserve">6.15. Processo em Segredo de Justiça</w:t>
      </w:r>
      <w:r>
        <w:rPr>
          <w:sz w:val="22"/>
          <w:szCs w:val="22"/>
        </w:rPr>
        <w:t xml:space="preserve">	38</w:t>
      </w:r>
    </w:p>
    <w:p>
      <w:pPr>
        <w:tabs>
          <w:tab w:val="right" w:pos="9071" w:leader="dot"/>
        </w:tabs>
        <w:spacing w:after="60"/>
        <w:ind w:left="360"/>
      </w:pPr>
      <w:r>
        <w:rPr>
          <w:sz w:val="22"/>
          <w:szCs w:val="22"/>
        </w:rPr>
        <w:t xml:space="preserve">6.16. Verificação em Duas Etapas</w:t>
      </w:r>
      <w:r>
        <w:rPr>
          <w:sz w:val="22"/>
          <w:szCs w:val="22"/>
        </w:rPr>
        <w:t xml:space="preserve">	38</w:t>
      </w:r>
    </w:p>
    <w:p>
      <w:pPr>
        <w:tabs>
          <w:tab w:val="right" w:pos="9071" w:leader="dot"/>
        </w:tabs>
        <w:spacing w:after="60"/>
        <w:ind w:left="360"/>
      </w:pPr>
      <w:r>
        <w:rPr>
          <w:sz w:val="22"/>
          <w:szCs w:val="22"/>
        </w:rPr>
        <w:t xml:space="preserve">6.17. Direitos do Titular (LGPD)</w:t>
      </w:r>
      <w:r>
        <w:rPr>
          <w:sz w:val="22"/>
          <w:szCs w:val="22"/>
        </w:rPr>
        <w:t xml:space="preserve">	40</w:t>
      </w:r>
    </w:p>
    <w:p>
      <w:pPr>
        <w:tabs>
          <w:tab w:val="right" w:pos="9071" w:leader="dot"/>
        </w:tabs>
        <w:spacing w:after="60"/>
        <w:ind w:left="360"/>
      </w:pPr>
      <w:r>
        <w:rPr>
          <w:sz w:val="22"/>
          <w:szCs w:val="22"/>
        </w:rPr>
        <w:t xml:space="preserve">6.18. Intimações do DJEN</w:t>
      </w:r>
      <w:r>
        <w:rPr>
          <w:sz w:val="22"/>
          <w:szCs w:val="22"/>
        </w:rPr>
        <w:t xml:space="preserve">	40</w:t>
      </w:r>
    </w:p>
    <w:p>
      <w:pPr>
        <w:tabs>
          <w:tab w:val="right" w:pos="9071" w:leader="dot"/>
        </w:tabs>
        <w:spacing w:after="60"/>
        <w:ind w:left="360"/>
      </w:pPr>
      <w:r>
        <w:rPr>
          <w:sz w:val="22"/>
          <w:szCs w:val="22"/>
        </w:rPr>
        <w:t xml:space="preserve">6.19. Cobrança por PIX</w:t>
      </w:r>
      <w:r>
        <w:rPr>
          <w:sz w:val="22"/>
          <w:szCs w:val="22"/>
        </w:rPr>
        <w:t xml:space="preserve">	41</w:t>
      </w:r>
    </w:p>
    <w:p>
      <w:pPr>
        <w:tabs>
          <w:tab w:val="right" w:pos="9071" w:leader="dot"/>
        </w:tabs>
        <w:spacing w:after="60"/>
        <w:ind w:left="360"/>
      </w:pPr>
      <w:r>
        <w:rPr>
          <w:sz w:val="22"/>
          <w:szCs w:val="22"/>
        </w:rPr>
        <w:t xml:space="preserve">6.20. Atualização do Cliente</w:t>
      </w:r>
      <w:r>
        <w:rPr>
          <w:sz w:val="22"/>
          <w:szCs w:val="22"/>
        </w:rPr>
        <w:t xml:space="preserve">	41</w:t>
      </w:r>
    </w:p>
    <w:p>
      <w:pPr>
        <w:tabs>
          <w:tab w:val="right" w:pos="9071" w:leader="dot"/>
        </w:tabs>
        <w:spacing w:after="60"/>
        <w:ind w:left="360"/>
      </w:pPr>
      <w:r>
        <w:rPr>
          <w:sz w:val="22"/>
          <w:szCs w:val="22"/>
        </w:rPr>
        <w:t xml:space="preserve">6.21. Quadro de Tarefas</w:t>
      </w:r>
      <w:r>
        <w:rPr>
          <w:sz w:val="22"/>
          <w:szCs w:val="22"/>
        </w:rPr>
        <w:t xml:space="preserve">	42</w:t>
      </w:r>
    </w:p>
    <w:p>
      <w:pPr>
        <w:tabs>
          <w:tab w:val="right" w:pos="9071" w:leader="dot"/>
        </w:tabs>
        <w:spacing w:after="60"/>
        <w:ind w:left="360"/>
      </w:pPr>
      <w:r>
        <w:rPr>
          <w:sz w:val="22"/>
          <w:szCs w:val="22"/>
        </w:rPr>
        <w:t xml:space="preserve">6.22. Agenda no Calendário do Celular</w:t>
      </w:r>
      <w:r>
        <w:rPr>
          <w:sz w:val="22"/>
          <w:szCs w:val="22"/>
        </w:rPr>
        <w:t xml:space="preserve">	43</w:t>
      </w:r>
    </w:p>
    <w:p>
      <w:pPr>
        <w:tabs>
          <w:tab w:val="right" w:pos="9071" w:leader="dot"/>
        </w:tabs>
        <w:spacing w:after="60"/>
        <w:ind w:left="360"/>
      </w:pPr>
      <w:r>
        <w:rPr>
          <w:sz w:val="22"/>
          <w:szCs w:val="22"/>
        </w:rPr>
        <w:t xml:space="preserve">6.23. Notificações no Celular e no Navegador</w:t>
      </w:r>
      <w:r>
        <w:rPr>
          <w:sz w:val="22"/>
          <w:szCs w:val="22"/>
        </w:rPr>
        <w:t xml:space="preserve">	43</w:t>
      </w:r>
    </w:p>
    <w:p>
      <w:pPr>
        <w:tabs>
          <w:tab w:val="right" w:pos="9071" w:leader="dot"/>
        </w:tabs>
        <w:spacing w:after="60"/>
        <w:ind w:left="360"/>
      </w:pPr>
      <w:r>
        <w:rPr>
          <w:sz w:val="22"/>
          <w:szCs w:val="22"/>
        </w:rPr>
        <w:t xml:space="preserve">6.24. Documentação da API</w:t>
      </w:r>
      <w:r>
        <w:rPr>
          <w:sz w:val="22"/>
          <w:szCs w:val="22"/>
        </w:rPr>
        <w:t xml:space="preserve">	44</w:t>
      </w:r>
    </w:p>
    <w:p>
      <w:pPr>
        <w:tabs>
          <w:tab w:val="right" w:pos="9071" w:leader="dot"/>
        </w:tabs>
        <w:spacing w:after="60"/>
        <w:ind w:left="360"/>
      </w:pPr>
      <w:r>
        <w:rPr>
          <w:sz w:val="22"/>
          <w:szCs w:val="22"/>
        </w:rPr>
        <w:t xml:space="preserve">6.25. Testes de Ponta a Ponta</w:t>
      </w:r>
      <w:r>
        <w:rPr>
          <w:sz w:val="22"/>
          <w:szCs w:val="22"/>
        </w:rPr>
        <w:t xml:space="preserve">	44</w:t>
      </w:r>
    </w:p>
    <w:p>
      <w:pPr>
        <w:tabs>
          <w:tab w:val="right" w:pos="9071" w:leader="dot"/>
        </w:tabs>
        <w:spacing w:after="60"/>
        <w:ind w:left="360"/>
      </w:pPr>
      <w:r>
        <w:rPr>
          <w:sz w:val="22"/>
          <w:szCs w:val="22"/>
        </w:rPr>
        <w:t xml:space="preserve">6.26. Planos de Assinatura</w:t>
      </w:r>
      <w:r>
        <w:rPr>
          <w:sz w:val="22"/>
          <w:szCs w:val="22"/>
        </w:rPr>
        <w:t xml:space="preserve">	45</w:t>
      </w:r>
    </w:p>
    <w:p>
      <w:pPr>
        <w:tabs>
          <w:tab w:val="right" w:pos="9071" w:leader="dot"/>
        </w:tabs>
        <w:spacing w:after="60"/>
        <w:ind w:left="360"/>
      </w:pPr>
      <w:r>
        <w:rPr>
          <w:sz w:val="22"/>
          <w:szCs w:val="22"/>
        </w:rPr>
        <w:t xml:space="preserve">6.27. Feriados Locais no Cálculo de Prazos</w:t>
      </w:r>
      <w:r>
        <w:rPr>
          <w:sz w:val="22"/>
          <w:szCs w:val="22"/>
        </w:rPr>
        <w:t xml:space="preserve">	46</w:t>
      </w:r>
    </w:p>
    <w:p>
      <w:pPr>
        <w:tabs>
          <w:tab w:val="right" w:pos="9071" w:leader="dot"/>
        </w:tabs>
        <w:spacing w:after="60"/>
        <w:ind w:left="0"/>
      </w:pPr>
      <w:r>
        <w:rPr>
          <w:sz w:val="22"/>
          <w:szCs w:val="22"/>
        </w:rPr>
        <w:t xml:space="preserve">7. Arquitetura do Sistema</w:t>
      </w:r>
      <w:r>
        <w:rPr>
          <w:sz w:val="22"/>
          <w:szCs w:val="22"/>
        </w:rPr>
        <w:t xml:space="preserve">	47</w:t>
      </w:r>
    </w:p>
    <w:p>
      <w:pPr>
        <w:tabs>
          <w:tab w:val="right" w:pos="9071" w:leader="dot"/>
        </w:tabs>
        <w:spacing w:after="60"/>
        <w:ind w:left="360"/>
      </w:pPr>
      <w:r>
        <w:rPr>
          <w:sz w:val="22"/>
          <w:szCs w:val="22"/>
        </w:rPr>
        <w:t xml:space="preserve">7.1. Diagrama de Contexto (C4 — Nível 1)</w:t>
      </w:r>
      <w:r>
        <w:rPr>
          <w:sz w:val="22"/>
          <w:szCs w:val="22"/>
        </w:rPr>
        <w:t xml:space="preserve">	47</w:t>
      </w:r>
    </w:p>
    <w:p>
      <w:pPr>
        <w:tabs>
          <w:tab w:val="right" w:pos="9071" w:leader="dot"/>
        </w:tabs>
        <w:spacing w:after="60"/>
        <w:ind w:left="360"/>
      </w:pPr>
      <w:r>
        <w:rPr>
          <w:sz w:val="22"/>
          <w:szCs w:val="22"/>
        </w:rPr>
        <w:t xml:space="preserve">7.2. Diagrama de Containers (C4 — Nível 2)</w:t>
      </w:r>
      <w:r>
        <w:rPr>
          <w:sz w:val="22"/>
          <w:szCs w:val="22"/>
        </w:rPr>
        <w:t xml:space="preserve">	48</w:t>
      </w:r>
    </w:p>
    <w:p>
      <w:pPr>
        <w:tabs>
          <w:tab w:val="right" w:pos="9071" w:leader="dot"/>
        </w:tabs>
        <w:spacing w:after="60"/>
        <w:ind w:left="360"/>
      </w:pPr>
      <w:r>
        <w:rPr>
          <w:sz w:val="22"/>
          <w:szCs w:val="22"/>
        </w:rPr>
        <w:t xml:space="preserve">7.3. Diagrama de Componentes</w:t>
      </w:r>
      <w:r>
        <w:rPr>
          <w:sz w:val="22"/>
          <w:szCs w:val="22"/>
        </w:rPr>
        <w:t xml:space="preserve">	48</w:t>
      </w:r>
    </w:p>
    <w:p>
      <w:pPr>
        <w:tabs>
          <w:tab w:val="right" w:pos="9071" w:leader="dot"/>
        </w:tabs>
        <w:spacing w:after="60"/>
        <w:ind w:left="360"/>
      </w:pPr>
      <w:r>
        <w:rPr>
          <w:sz w:val="22"/>
          <w:szCs w:val="22"/>
        </w:rPr>
        <w:t xml:space="preserve">7.4. Integração Contínua e Qualidade</w:t>
      </w:r>
      <w:r>
        <w:rPr>
          <w:sz w:val="22"/>
          <w:szCs w:val="22"/>
        </w:rPr>
        <w:t xml:space="preserve">	49</w:t>
      </w:r>
    </w:p>
    <w:p>
      <w:pPr>
        <w:tabs>
          <w:tab w:val="right" w:pos="9071" w:leader="dot"/>
        </w:tabs>
        <w:spacing w:after="60"/>
        <w:ind w:left="0"/>
      </w:pPr>
      <w:r>
        <w:rPr>
          <w:sz w:val="22"/>
          <w:szCs w:val="22"/>
        </w:rPr>
        <w:t xml:space="preserve">8. Trabalhos Futuros</w:t>
      </w:r>
      <w:r>
        <w:rPr>
          <w:sz w:val="22"/>
          <w:szCs w:val="22"/>
        </w:rPr>
        <w:t xml:space="preserve">	49</w:t>
      </w:r>
    </w:p>
    <w:p>
      <w:pPr>
        <w:tabs>
          <w:tab w:val="right" w:pos="9071" w:leader="dot"/>
        </w:tabs>
        <w:spacing w:after="60"/>
        <w:ind w:left="0"/>
      </w:pPr>
      <w:r>
        <w:rPr>
          <w:sz w:val="22"/>
          <w:szCs w:val="22"/>
        </w:rPr>
        <w:t xml:space="preserve">9. Conclusão</w:t>
      </w:r>
      <w:r>
        <w:rPr>
          <w:sz w:val="22"/>
          <w:szCs w:val="22"/>
        </w:rPr>
        <w:t xml:space="preserve">	50</w:t>
      </w:r>
    </w:p>
    <w:p>
      <w:pPr>
        <w:tabs>
          <w:tab w:val="right" w:pos="9071" w:leader="dot"/>
        </w:tabs>
        <w:spacing w:after="60"/>
        <w:ind w:left="0"/>
      </w:pPr>
      <w:r>
        <w:rPr>
          <w:sz w:val="22"/>
          <w:szCs w:val="22"/>
        </w:rPr>
        <w:t xml:space="preserve">10. Referências Bibliográficas</w:t>
      </w:r>
      <w:r>
        <w:rPr>
          <w:sz w:val="22"/>
          <w:szCs w:val="22"/>
        </w:rPr>
        <w:t xml:space="preserve">	53</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(LexOffice)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Na etapa final, a verificação passou a ser contínua: a cada alteração enviada ao repositório, um fluxo de integração contínua (GitHub Actions) executa os testes da API (459 testes em Django, sobre um banco PostgreSQL efêmero), os testes de componentes da interface (205 testes em Jest e Testing Library), a análise estática do código, o build de produção, a validação da documentação OpenAPI e os testes de ponta a ponta (11 cenários em Playwright, com um navegador de verdade usando o sistema sobre um escritório de demonstração e checagem automática de acessibilidade WCAG 2 AA). Uma alteração só é incorporada à versão principal quando todas essas etapas passam.</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consolida os requisitos funcionais priorizados ao longo do projeto, com sua estimativa de horas e o status atual de implementação. A maior parte dos itens planejados foi concluída; o único item adiado (RF05, notificação automática) está detalhado na seção 8 — Trabalhos Futuros.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notificação automática (WhatsApp/e-mail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listagem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(clientes, processos,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contratos e honorários, com parcelamento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Sistema de 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 (painel mestre)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cadastrados)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Os dados pessoais enviados a serviços externos devem ser os mínimos necessários (LGPD, art. 6º, III): a IA recebe o primeiro nome do cliente e os andamentos do processo, nunca CPF, endereço ou contato;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cadastrados pelo escritório (RN36).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ainda que a rotina de envio seja executada mais de uma vez no mesmo dia. O registro do envio é gravado antes do disparo, para que duas execuções simultâneas não dupliquem o aviso, e é desfeito caso o envio falhe, para que uma indisponibilidade do servidor de e-mail não faça o lembrete ser perdido em silêncio.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Só pode haver um feriado local por data em cada escritório. Ele não conta como dia útil no cálculo de prazos em dias úteis — na calculadora da agenda e nas intimações do DJEN —, mas não afeta a contagem em dias corridos, e a calculadora informa quais feriados locais mudaram o resultado. Excluir ou cadastrar um feriado vale para os cálculos seguintes: prazos já lançados na agenda não são recalculados.</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80" w:before="200"/>
        <w:jc w:val="center"/>
      </w:pPr>
      <w:r>
        <w:drawing>
          <wp:inline distT="0" distB="0" distL="0" distR="0">
            <wp:extent cx="3810000" cy="869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869632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do escritório além dos nacionais (RF50/RN36).</w:t>
      </w:r>
    </w:p>
    <w:p>
      <w:pPr>
        <w:spacing w:after="80" w:before="200"/>
        <w:jc w:val="center"/>
      </w:pPr>
      <w:r>
        <w:drawing>
          <wp:inline distT="0" distB="0" distL="0" distR="0">
            <wp:extent cx="4476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28950"/>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(a comarca ou o tribunal, apenas informativa) e o indicador anual, que faz a data valer todos os anos no mesmo dia e mês. Uma restrição de unicidade impede dois feriados locais na mesma data do mesmo escritório.</w:t>
      </w:r>
    </w:p>
    <w:p>
      <w:pPr>
        <w:spacing w:after="80" w:before="200"/>
        <w:jc w:val="center"/>
      </w:pPr>
      <w:r>
        <w:drawing>
          <wp:inline distT="0" distB="0" distL="0" distR="0">
            <wp:extent cx="44767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076700"/>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Eles rodam na integração contínua a cada alteração, junto com os 459 testes da API e os 205 testes de componentes (RNF19).</w:t>
      </w:r>
    </w:p>
    <w:p>
      <w:pPr>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foi feita em um escritório no plano Gratuito com 3 usuários e 27 processos ativos. Quando um recurso pago é usado no Gratuito — por exemplo, o assistente de IA —, a API recusa a operação e a tela exibe a mensagem indicando o plano que o inclui (RN35).</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Plano atual, uso dos limites e planos pagos</w:t>
      </w:r>
    </w:p>
    <w:p>
      <w:pPr>
        <w:pStyle w:val="Heading2"/>
        <w:spacing w:after="160" w:before="300"/>
      </w:pPr>
      <w:r>
        <w:rPr>
          <w:b/>
          <w:bCs/>
          <w:color w:val="1F3864"/>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35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Calculadora de prazos considerando um feriado local</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e com os aplicativos de agenda, que assinam o calendário do escritório. A automação via n8n, prevista originalmente, permanece adiada.</w:t>
      </w:r>
    </w:p>
    <w:p>
      <w:pPr>
        <w:spacing w:after="80" w:before="20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20"/>
          <w:szCs w:val="20"/>
        </w:rPr>
        <w:t xml:space="preserve">Figura 37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38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39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Cada alteração enviada ao repositório dispara três trabalhos em paralelo no GitHub Actions. O do backend sobe um PostgreSQL efêmero e executa os 459 testes da API, a checagem de integridade do projeto, a validação da documentação OpenAPI, a checagem de segurança da configuração de produção e a auditoria de dependências. O do frontend executa a análise estática do código sem nenhum aviso tolerado, os 205 testes de componentes e o build de produção. O de ponta a ponta sobe o sistema inteiro — banco, API e frontend — sobre o escritório de demonstração e executa os 11 cenários do Playwright, publicando o relatório e os registros em caso de falha. A versão principal só recebe alterações com os três trabalhos aprovados.</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projeto evoluiu significativamente desde a proposta inicial: além da migração da stack tecnológica (Django/Python no lugar de Node.js, PostgreSQL/Supabase no lugar de MySQL), foram incorporadas funcionalidades que se mostraram necessárias durante o desenvolvimento — controle de contratos e honorários, bloqueio de login por tentativas inválidas, filtros de busca, agenda com diferenciação entre compromissos e prazos, e um painel administrativo da plataforma. Essas mudanças, discutidas e aprovadas internamente pela dupla, também motivaram a revisão dos diagramas de casos de uso, de classes e de banco de dados apresentados neste relatório, corrigindo inconsistências identificadas na avaliação anterior (uso de casos de uso genéricos, ausência de herança entre atores, e o tratamento indevido de "Relatório" como uma entidade em vez de um comportamento das classes de domínio).</w:t>
      </w:r>
    </w:p>
    <w:p>
      <w:pPr>
        <w:spacing w:after="180" w:line="300"/>
        <w:jc w:val="both"/>
      </w:pPr>
      <w:r>
        <w:rPr>
          <w:sz w:val="22"/>
          <w:szCs w:val="22"/>
        </w:rPr>
        <w:t xml:space="preserve">Em uma revisão final, o sistema recebeu um conjunto de melhorias de segurança e de completude do domínio: um registro de auditoria (RF18) que documenta quem acessou o sistema e quem criou, editou ou excluiu cada dado, redefinição de senha por e-mail (RF19), limitação de taxa de requisições em endpoints sensíveis a abuso, validação de tamanho e extensão de arquivos enviados, paginação das listagens da API e a parametrização de configurações sensíveis (chave secreta, modo de depuração e hosts permitidos) por variável de ambiente — itens tratados como requisitos não funcionais de segurança (RNF07, RNF08) e regras de negócio (RN10, RN11) deste relatório.</w:t>
      </w:r>
    </w:p>
    <w:p>
      <w:pPr>
        <w:spacing w:after="180" w:line="300"/>
        <w:jc w:val="both"/>
      </w:pPr>
      <w:r>
        <w:rPr>
          <w:sz w:val="22"/>
          <w:szCs w:val="22"/>
        </w:rPr>
        <w:t xml:space="preserve">Duas rodadas adicionais de ajustes trataram, respectivamente, do reforço da camada de autenticação e da completude do domínio jurídico. Na primeira, foram corrigidos dois defeitos identificados no uso real do sistema: a sessão do usuário caía sozinha poucos minutos depois do login (o token de acesso expirava e não era renovado automaticamente) e o logout não encerrava a sessão de fato no servidor. Além disso, o auto-cadastro de um novo escritório passou a exigir confirmação de e-mail em produção (RF20, RN12). Na segunda, o sistema passou a calcular automaticamente a data final de um prazo processual em dias úteis, considerando os feriados nacionais — inclusive os móveis, calculados a partir da Páscoa (RF22, RN14) —, e o cadastro de processo passou a registrar dados jurídicos até então ausentes: área do direito, vara, comarca, valor da causa, parte contrária e uma estimativa de honorários de sucumbência (RF23, RF24, RN15).</w:t>
      </w:r>
    </w:p>
    <w:p>
      <w:pPr>
        <w:spacing w:after="180" w:line="300"/>
        <w:jc w:val="both"/>
      </w:pPr>
      <w:r>
        <w:rPr>
          <w:sz w:val="22"/>
          <w:szCs w:val="22"/>
        </w:rPr>
        <w:t xml:space="preserve">Uma última rodada partiu de um estudo comparativo com os sistemas de gestão jurídica em uso no mercado brasileiro — entre eles Astrea, Projuris ADV, ADVBOX, SAJ ADV e Legal One —, com o objetivo de identificar lacunas relevantes para a rotina de um escritório. Quatro delas foram tratadas. A primeira foi a de que as preferências de notificação eram armazenadas mas nunca lidas: o sistema passou a enviar de fato os lembretes de prazo e o resumo semanal (RF25), com controle de idempotência para não duplicar avisos (RN16). A segunda tratou do módulo financeiro, que oferecia o honorário por hora sem oferecer onde registrar horas: entraram o apontamento de horas trabalhadas, o lançamento de custas e despesas reembolsáveis e a medição do tempo de uso do sistema (RF26 a RF28). A terceira incorporou a consulta processual automática à API pública do DataJud, do Conselho Nacional de Justiça (RF29), recurso central nos sistemas comparados e viabilizado por ser uma base pública e gratuita. A quarta introduziu os modelos de documento preenchidos automaticamente a partir do cadastro (RF30), aproveitando dados do cliente que já eram coletados e pouco utilizados.</w:t>
      </w:r>
    </w:p>
    <w:p>
      <w:pPr>
        <w:spacing w:after="180" w:line="300"/>
        <w:jc w:val="both"/>
      </w:pPr>
      <w:r>
        <w:rPr>
          <w:sz w:val="22"/>
          <w:szCs w:val="22"/>
        </w:rPr>
        <w:t xml:space="preserve">Vale registrar um aprendizado de método. Três das quatro lacunas acima não eram funcionalidades ausentes, e sim promessas em aberto: a tela de preferências oferecia lembretes que nunca eram enviados, o contrato oferecia honorário por hora sem permitir registrar horas, e o encerramento de sessão não encerrava a sessão no servidor. Revisar criticamente o que já havia sido construído revelou-se tão produtivo quanto acrescentar funcionalidades novas, e sugere que a verificação do que o sistema promete ao usuário deveria integrar o próprio ciclo de desenvolvimento, e não apenas a etapa final de testes. A etapa seguinte confirmou o padrão e ampliou o aprendizado: os relatórios não mostravam contratos, horas e despesas porque haviam sido escritos antes desses módulos existirem, e o campo de situação "atrasado" de uma parcela nunca era atribuído por rotina alguma. Em ambos os casos, o defeito não estava em código incorreto, e sim em código correto que deixou de acompanhar o crescimento do sistema — algo que nenhum teste automatizado existente acusaria, porque cada parte, isoladamente, funcionava como esperado.</w:t>
      </w:r>
    </w:p>
    <w:p>
      <w:pPr>
        <w:spacing w:after="180" w:line="300"/>
        <w:jc w:val="both"/>
      </w:pPr>
      <w:r>
        <w:rPr>
          <w:sz w:val="22"/>
          <w:szCs w:val="22"/>
        </w:rPr>
        <w:t xml:space="preserve">Uma etapa final partiu de uma revisão crítica do sistema já construído, e não de comparação com o mercado. Cinco melhorias foram implementadas. A sincronização com o DataJud, que dependia de acionamento manual processo a processo, passou a ser periódica e automática, restrita aos processos que ainda recebem movimentação e com aviso por e-mail quando surge andamento novo (RF31/RN21). Os relatórios de cliente e de processo, escritos antes da existência dos módulos de contrato, horas e despesas, passaram a apresentá-los, com um resumo financeiro consolidado (RF32/RN22). O painel inicial, que exibia apenas contagens, ganhou os indicadores financeiros do escritório (RF33/RN23). Foi criada a entidade Tarefa, para o trabalho interno que não tem hora marcada e que a agenda não comportava (RF34/RN24). E o sistema passou a ser instalável como aplicativo, com tela própria de indisponibilidade (RF35/RN25).</w:t>
      </w:r>
    </w:p>
    <w:p>
      <w:pPr>
        <w:spacing w:after="180" w:line="300"/>
        <w:jc w:val="both"/>
      </w:pPr>
      <w:r>
        <w:rPr>
          <w:sz w:val="22"/>
          <w:szCs w:val="22"/>
        </w:rPr>
        <w:t xml:space="preserve">Duas decisões dessa etapa merecem registro por envolverem escolhas de projeto, e não apenas implementação. A primeira é que o mecanismo de funcionamento offline não armazena nenhuma resposta da API no dispositivo (RNF12): sendo o sistema multi-escritório e autenticado por token, um armazenamento local exibiria dados de um escritório a quem usasse o mesmo aparelho em seguida e, em um sistema de prazos, apresentar informação desatualizada como se fosse atual é pior do que não apresentar informação alguma. A segunda é que a apuração de parcelas vencidas compara a data de vencimento com o dia da consulta, em vez de confiar no campo de situação da parcela: o modelo prevê a situação "atrasado", mas nenhuma rotina do sistema a atribui, de modo que o indicador apoiado nesse campo exibiria sempre zero (RN23).</w:t>
      </w:r>
    </w:p>
    <w:p>
      <w:pPr>
        <w:spacing w:after="180" w:line="300"/>
        <w:jc w:val="both"/>
      </w:pPr>
      <w:r>
        <w:rPr>
          <w:sz w:val="22"/>
          <w:szCs w:val="22"/>
        </w:rPr>
        <w:t xml:space="preserve">Na sequência, o sistema recebeu uma revisão de interface orientada ao uso. Verificou-se que um mesmo estado de processo era representado por cores diferentes conforme a tela — verde no indicador de uma tabela e azul no gráfico do painel —, e que a cor das fatias do gráfico derivava da posição na lista, e não da identidade do estado, de modo que um escritório sem processos suspensos fazia um estado herdar a cor de outro. A correção centralizou a definição de rótulo, indicador e cor em um único ponto do código e adotou uma paleta por tema, verificada quanto à separação sob protanopia, deuteranopia e tritanopia e quanto ao contraste em relação ao fundo (RNF13/RNF14). Somaram-se a isso uma central de ajuda contextual (RF36) e a ampliação da busca global para todas as áreas do sistema (RF37).</w:t>
      </w:r>
    </w:p>
    <w:p>
      <w:pPr>
        <w:spacing w:after="180" w:line="300"/>
        <w:jc w:val="both"/>
      </w:pPr>
      <w:r>
        <w:rPr>
          <w:sz w:val="22"/>
          <w:szCs w:val="22"/>
        </w:rPr>
        <w:t xml:space="preserve">A etapa final concentrou-se em três frentes. A primeira foi a segurança e a privacidade: o acesso passou a ser controlado por perfis — administrador, advogado, estagiário, financeiro e secretária —, com uma única matriz de permissões aplicada pela API e refletida na interface (RF38/RN26); processos em segredo de justiça ficaram restritos ao administrador e ao advogado responsável em todas as partes do sistema (RF40/RN27); o login ganhou verificação em duas etapas (RF41/RN28); e os direitos do titular previstos na LGPD — consentimento, portabilidade e anonimização — foram implementados (RF42/RN29). Antes disso, a configuração de produção havia sido endurecida, a sessão passou a renovar e revogar tokens a cada uso, a interface foi adaptada ao celular e as telas principais passaram a cumprir as regras de acessibilidade WCAG 2 AA.</w:t>
      </w:r>
    </w:p>
    <w:p>
      <w:pPr>
        <w:spacing w:after="180" w:line="300"/>
        <w:jc w:val="both"/>
      </w:pPr>
      <w:r>
        <w:rPr>
          <w:sz w:val="22"/>
          <w:szCs w:val="22"/>
        </w:rPr>
        <w:t xml:space="preserve">A segunda frente trouxe funcionalidades ligadas à rotina do escritório. A mais relevante é a importação das intimações do DJEN com o prazo lançado na agenda (RF47): ela fecha a lacuna registrada na etapa anterior, quando se constatou que o DataJud não traz o texto das publicações, e exigiu codificar regras processuais precisas — publicação no dia útil seguinte à disponibilização, contagem a partir do dia útil seguinte, suspensão no recesso de fim de ano e prorrogação do vencimento que cai em dia sem expediente (RN30). Somaram-se a cobrança por PIX de cada parcela (RF45), a atualização do andamento em linguagem simples para o cliente (RF46), o quadro de tarefas (RF44), a agenda no calendário do celular (RF43) e as notificações push (RF48). Em todas, a decisão de projeto foi manter o advogado no controle: a mensagem ao cliente é revisada antes do envio, o prazo sem número expresso aparece como estimado e o PIX estático não pretende confirmar o pagamento sozinho.</w:t>
      </w:r>
    </w:p>
    <w:p>
      <w:pPr>
        <w:spacing w:after="180" w:line="300"/>
        <w:jc w:val="both"/>
      </w:pPr>
      <w:r>
        <w:rPr>
          <w:sz w:val="22"/>
          <w:szCs w:val="22"/>
        </w:rPr>
        <w:t xml:space="preserve">A terceira frente foi a de evidências. O sistema passou a ser verificado a cada alteração por testes em três níveis — 459 testes da API, 205 testes de componentes e 11 cenários de ponta a ponta com checagem de acessibilidade —, a API ganhou documentação OpenAPI validada automaticamente, e os dois maiores arquivos do backend, com 3.700 e 6.000 linhas, foram divididos por assunto sem alteração de comportamento. A integração contínua mostrou o seu valor de imediato: um teste que passava no ambiente de desenvolvimento, sem acesso à rede, falhou na primeira execução no servidor, porque lá o validador de e-mail consultava o domínio de verdade. O defeito estava no teste, e não no sistema, mas só foi encontrado porque a verificação passou a rodar em um ambiente diferente do de quem escreveu o código.</w:t>
      </w:r>
    </w:p>
    <w:p>
      <w:pPr>
        <w:spacing w:after="180" w:line="300"/>
        <w:jc w:val="both"/>
      </w:pPr>
      <w:r>
        <w:rPr>
          <w:sz w:val="22"/>
          <w:szCs w:val="22"/>
        </w:rPr>
        <w:t xml:space="preserve">Em seguida, o modelo de negócio foi levado ao sistema. O plano Gratuito, que existia apenas como valor padrão no banco de dados, tornou-se de fato o ponto de entrada: qualquer escritório cria a conta e usa o sistema sem pagar, e os planos Básico e Profissional ampliam os limites e trazem os recursos de maior custo ou valor (RF49/RN35). A divisão seguiu dois critérios. O que tem custo por uso — a IA, cobrada a cada chamada — ou depende de rotinas que rodam todos os dias, como as intimações do DJEN e a sincronização do DataJud, ficou nos planos pagos; o essencial para organizar um escritório pequeno ficou no Gratuito. E atingir um limite nunca apaga nem esconde dados, apenas impede criar mais: um escritório que deixa de pagar continua com acesso a tudo o que já registrou.</w:t>
      </w:r>
    </w:p>
    <w:p>
      <w:pPr>
        <w:spacing w:after="180" w:line="300"/>
        <w:jc w:val="both"/>
      </w:pPr>
      <w:r>
        <w:rPr>
          <w:sz w:val="22"/>
          <w:szCs w:val="22"/>
        </w:rPr>
        <w:t xml:space="preserve">Por fim, foi resolvida no cálculo de prazos uma limitação que constava como trabalho futuro: os feriados locais. Até então, um feriado municipal ou uma suspensão de expediente do tribunal fazia o sistema indicar um vencimento anterior ao real — o erro mais grave possível em um sistema de prazos, porque leva o advogado a agir antes ou, pior, a confiar numa data errada. A decisão foi não embutir uma lista de feriados estaduais: quem define o calendário forense é cada tribunal, e uma data equivocada embutida no código seria pior do que nenhuma. O escritório cadastra os dias da sua comarca, e a calculadora informa quais deles mudaram o resultado (RF50/RN36).</w:t>
      </w:r>
    </w:p>
    <w:p>
      <w:pPr>
        <w:spacing w:after="180" w:line="300"/>
        <w:jc w:val="both"/>
      </w:pPr>
      <w:r>
        <w:rPr>
          <w:sz w:val="22"/>
          <w:szCs w:val="22"/>
        </w:rPr>
        <w:t xml:space="preserve">O principal desafio permanece sendo o gerenciamento do tempo e a integração entre as tecnologias escolhidas, especialmente diante da entrada de novas funcionalidades ao longo do semestre. Os itens listados na seção 8 indicam os próximos passos naturais do projeto, caso seu desenvolvimento continue além do TCC.</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ab57c1d73ede12fd06d3556299884672bdf3e30c.png"/><Relationship Id="rId11" Type="http://schemas.openxmlformats.org/officeDocument/2006/relationships/image" Target="media/49b14981ccde54fc9e9e7eb3092b5b6ad50ca03d.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48cc18ad84335cdf737c1e4c585b4bb9ec71355f.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a9c38e1ba032c6cc82c3031570bdc230c373b910.png"/><Relationship Id="rId43" Type="http://schemas.openxmlformats.org/officeDocument/2006/relationships/image" Target="media/408cf515dc52080cb83fc9ef6924637d8cc40e67.png"/><Relationship Id="rId44" Type="http://schemas.openxmlformats.org/officeDocument/2006/relationships/image" Target="media/63067a2fe53d02d2a5f89e09b2a74f908b697ced.png"/><Relationship Id="rId45" Type="http://schemas.openxmlformats.org/officeDocument/2006/relationships/image" Target="media/6bb2c1df60fdf5e5d6de030f13e9ce5e0d279772.png"/><Relationship Id="rId46" Type="http://schemas.openxmlformats.org/officeDocument/2006/relationships/image" Target="media/fc551496caadcae629542c59c395ef10548284d8.png"/><Relationship Id="rId47" Type="http://schemas.openxmlformats.org/officeDocument/2006/relationships/image" Target="media/b6a755e079f53c9fae4e3777e87d9e30093bb70a.png"/><Relationship Id="rId48" Type="http://schemas.openxmlformats.org/officeDocument/2006/relationships/image" Target="media/6112a58a00c9592f77959368c186e5d163434c6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2026-10-07T12:29:56.568Z</dcterms:created>
  <dcterms:modified xsi:type="dcterms:W3CDTF">2026-10-07T12:29:56.568Z</dcterms:modified>
</cp:coreProperties>
</file>

<file path=docProps/custom.xml><?xml version="1.0" encoding="utf-8"?>
<Properties xmlns="http://schemas.openxmlformats.org/officeDocument/2006/custom-properties" xmlns:vt="http://schemas.openxmlformats.org/officeDocument/2006/docPropsVTypes"/>
</file>