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9"/>
        <w:bidi w:val="0"/>
        <w:rPr>
          <w:rFonts w:hint="eastAsia"/>
        </w:rPr>
      </w:pPr>
      <w:bookmarkStart w:id="0" w:name="heading_0"/>
      <w:r>
        <w:rPr>
          <w:rFonts w:hint="eastAsia"/>
        </w:rPr>
        <w:t>HEALINK数智防线：从疾病防控到全民健康管理的全链路革新</w:t>
      </w:r>
    </w:p>
    <w:p>
      <w:pPr>
        <w:keepNext w:val="0"/>
        <w:keepLines w:val="0"/>
        <w:widowControl w:val="0"/>
        <w:suppressLineNumbers w:val="0"/>
        <w:snapToGrid w:val="0"/>
        <w:spacing w:before="0" w:beforeAutospacing="0" w:after="0" w:afterLines="50" w:afterAutospacing="0" w:line="360" w:lineRule="auto"/>
        <w:ind w:left="0" w:right="0" w:firstLine="480" w:firstLineChars="200"/>
        <w:jc w:val="both"/>
        <w:rPr>
          <w:rFonts w:hint="eastAsia" w:ascii="仿宋_GB2312" w:hAnsi="Calibri" w:eastAsia="仿宋_GB2312" w:cs="Times New Roman"/>
          <w:color w:val="FF0000"/>
          <w:kern w:val="2"/>
          <w:sz w:val="24"/>
          <w:szCs w:val="24"/>
        </w:rPr>
      </w:pPr>
      <w:r>
        <w:rPr>
          <w:rFonts w:hint="eastAsia" w:ascii="仿宋_GB2312" w:hAnsi="Calibri" w:eastAsia="仿宋_GB2312" w:cs="Times New Roman"/>
          <w:snapToGrid/>
          <w:color w:val="FF0000"/>
          <w:kern w:val="2"/>
          <w:sz w:val="24"/>
          <w:szCs w:val="24"/>
          <w:lang w:val="en-US" w:eastAsia="zh-CN" w:bidi="ar"/>
        </w:rPr>
        <w:t xml:space="preserve"> </w:t>
      </w:r>
    </w:p>
    <w:p>
      <w:pPr>
        <w:keepNext w:val="0"/>
        <w:keepLines w:val="0"/>
        <w:widowControl w:val="0"/>
        <w:suppressLineNumbers w:val="0"/>
        <w:snapToGrid w:val="0"/>
        <w:spacing w:before="0" w:beforeAutospacing="0" w:after="0" w:afterLines="50" w:afterAutospacing="0" w:line="360" w:lineRule="auto"/>
        <w:ind w:left="0" w:right="-376" w:rightChars="-171" w:firstLine="602" w:firstLineChars="200"/>
        <w:jc w:val="center"/>
        <w:rPr>
          <w:rFonts w:hint="default" w:ascii="楷体_GB2312" w:hAnsi="Calibri" w:eastAsia="楷体_GB2312" w:cs="Times New Roman"/>
          <w:b/>
          <w:bCs w:val="0"/>
          <w:color w:val="000000"/>
          <w:kern w:val="2"/>
          <w:sz w:val="30"/>
          <w:szCs w:val="30"/>
        </w:rPr>
      </w:pPr>
      <w:r>
        <w:rPr>
          <w:rFonts w:hint="default" w:ascii="楷体_GB2312" w:hAnsi="Calibri" w:eastAsia="楷体_GB2312" w:cs="Times New Roman"/>
          <w:b/>
          <w:bCs w:val="0"/>
          <w:snapToGrid/>
          <w:color w:val="000000"/>
          <w:kern w:val="2"/>
          <w:sz w:val="30"/>
          <w:szCs w:val="30"/>
          <w:lang w:val="en-US" w:eastAsia="zh-CN" w:bidi="ar"/>
        </w:rPr>
        <w:drawing>
          <wp:inline distT="0" distB="0" distL="114300" distR="114300">
            <wp:extent cx="3191510" cy="3191510"/>
            <wp:effectExtent l="0" t="0" r="8890" b="8890"/>
            <wp:docPr id="17" name="图片 17" descr="bb731b4c1d01a9cd983bd53cf17c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bb731b4c1d01a9cd983bd53cf17cada"/>
                    <pic:cNvPicPr>
                      <a:picLocks noChangeAspect="1"/>
                    </pic:cNvPicPr>
                  </pic:nvPicPr>
                  <pic:blipFill>
                    <a:blip r:embed="rId7"/>
                    <a:stretch>
                      <a:fillRect/>
                    </a:stretch>
                  </pic:blipFill>
                  <pic:spPr>
                    <a:xfrm>
                      <a:off x="0" y="0"/>
                      <a:ext cx="3191510" cy="3191510"/>
                    </a:xfrm>
                    <a:prstGeom prst="rect">
                      <a:avLst/>
                    </a:prstGeom>
                  </pic:spPr>
                </pic:pic>
              </a:graphicData>
            </a:graphic>
          </wp:inline>
        </w:drawing>
      </w:r>
    </w:p>
    <w:p>
      <w:pPr>
        <w:keepNext w:val="0"/>
        <w:keepLines w:val="0"/>
        <w:widowControl w:val="0"/>
        <w:suppressLineNumbers w:val="0"/>
        <w:snapToGrid w:val="0"/>
        <w:spacing w:before="0" w:beforeAutospacing="0" w:after="0" w:afterLines="50" w:afterAutospacing="0" w:line="360" w:lineRule="auto"/>
        <w:ind w:left="0" w:right="0" w:firstLine="1800" w:firstLineChars="600"/>
        <w:jc w:val="both"/>
        <w:rPr>
          <w:rFonts w:hint="default" w:ascii="Calibri" w:hAnsi="Calibri" w:eastAsia="宋体" w:cs="Times New Roman"/>
          <w:kern w:val="2"/>
          <w:sz w:val="30"/>
          <w:szCs w:val="30"/>
        </w:rPr>
      </w:pPr>
      <w:r>
        <w:rPr>
          <w:rFonts w:hint="default" w:ascii="Calibri" w:hAnsi="Calibri" w:eastAsia="宋体" w:cs="Times New Roman"/>
          <w:snapToGrid/>
          <w:kern w:val="2"/>
          <w:sz w:val="30"/>
          <w:szCs w:val="30"/>
          <w:lang w:val="en-US" w:eastAsia="zh-CN" w:bidi="ar"/>
        </w:rPr>
        <w:t xml:space="preserve"> </w:t>
      </w:r>
    </w:p>
    <w:p>
      <w:pPr>
        <w:keepNext w:val="0"/>
        <w:keepLines w:val="0"/>
        <w:widowControl w:val="0"/>
        <w:suppressLineNumbers w:val="0"/>
        <w:snapToGrid w:val="0"/>
        <w:spacing w:before="0" w:beforeAutospacing="0" w:after="0" w:afterLines="50" w:afterAutospacing="0" w:line="360" w:lineRule="auto"/>
        <w:ind w:left="0" w:right="0" w:firstLine="1440" w:firstLineChars="478"/>
        <w:jc w:val="both"/>
        <w:outlineLvl w:val="0"/>
        <w:rPr>
          <w:rFonts w:hint="eastAsia" w:ascii="仿宋_GB2312" w:hAnsi="Calibri" w:eastAsia="仿宋_GB2312" w:cs="Times New Roman"/>
          <w:b/>
          <w:bCs w:val="0"/>
          <w:kern w:val="2"/>
          <w:sz w:val="30"/>
          <w:szCs w:val="30"/>
        </w:rPr>
      </w:pPr>
      <w:r>
        <w:rPr>
          <w:rFonts w:hint="eastAsia" w:ascii="仿宋_GB2312" w:hAnsi="Calibri" w:eastAsia="仿宋_GB2312" w:cs="仿宋_GB2312"/>
          <w:b/>
          <w:bCs w:val="0"/>
          <w:snapToGrid/>
          <w:kern w:val="2"/>
          <w:sz w:val="30"/>
          <w:szCs w:val="30"/>
          <w:lang w:val="en-US" w:eastAsia="zh-CN" w:bidi="ar"/>
        </w:rPr>
        <w:t>学校:复旦大学</w:t>
      </w:r>
    </w:p>
    <w:p>
      <w:pPr>
        <w:keepNext w:val="0"/>
        <w:keepLines w:val="0"/>
        <w:widowControl w:val="0"/>
        <w:suppressLineNumbers w:val="0"/>
        <w:snapToGrid w:val="0"/>
        <w:spacing w:before="0" w:beforeAutospacing="0" w:after="0" w:afterLines="50" w:afterAutospacing="0" w:line="360" w:lineRule="auto"/>
        <w:ind w:left="0" w:right="0" w:firstLine="1440" w:firstLineChars="478"/>
        <w:jc w:val="both"/>
        <w:outlineLvl w:val="0"/>
        <w:rPr>
          <w:rFonts w:hint="eastAsia" w:ascii="仿宋_GB2312" w:hAnsi="Calibri" w:eastAsia="仿宋_GB2312" w:cs="Times New Roman"/>
          <w:b/>
          <w:bCs w:val="0"/>
          <w:kern w:val="2"/>
          <w:sz w:val="30"/>
          <w:szCs w:val="30"/>
        </w:rPr>
      </w:pPr>
      <w:r>
        <w:rPr>
          <w:rFonts w:hint="eastAsia" w:ascii="仿宋_GB2312" w:hAnsi="Calibri" w:eastAsia="仿宋_GB2312" w:cs="仿宋_GB2312"/>
          <w:b/>
          <w:bCs w:val="0"/>
          <w:snapToGrid/>
          <w:kern w:val="2"/>
          <w:sz w:val="30"/>
          <w:szCs w:val="30"/>
          <w:lang w:val="en-US" w:eastAsia="zh-CN" w:bidi="ar"/>
        </w:rPr>
        <w:t>院系：</w:t>
      </w:r>
    </w:p>
    <w:p>
      <w:pPr>
        <w:keepNext w:val="0"/>
        <w:keepLines w:val="0"/>
        <w:widowControl w:val="0"/>
        <w:suppressLineNumbers w:val="0"/>
        <w:snapToGrid w:val="0"/>
        <w:spacing w:before="0" w:beforeAutospacing="0" w:after="0" w:afterLines="50" w:afterAutospacing="0" w:line="360" w:lineRule="auto"/>
        <w:ind w:left="0" w:right="0" w:firstLine="1440" w:firstLineChars="478"/>
        <w:jc w:val="both"/>
        <w:rPr>
          <w:rFonts w:hint="eastAsia" w:ascii="仿宋_GB2312" w:hAnsi="Calibri" w:eastAsia="仿宋_GB2312" w:cs="Times New Roman"/>
          <w:b/>
          <w:bCs w:val="0"/>
          <w:kern w:val="2"/>
          <w:sz w:val="30"/>
          <w:szCs w:val="30"/>
        </w:rPr>
      </w:pPr>
      <w:r>
        <w:rPr>
          <w:rFonts w:hint="eastAsia" w:ascii="仿宋_GB2312" w:hAnsi="Calibri" w:eastAsia="仿宋_GB2312" w:cs="仿宋_GB2312"/>
          <w:b/>
          <w:bCs w:val="0"/>
          <w:snapToGrid/>
          <w:kern w:val="2"/>
          <w:sz w:val="30"/>
          <w:szCs w:val="30"/>
          <w:lang w:val="en-US" w:eastAsia="zh-CN" w:bidi="ar"/>
        </w:rPr>
        <w:t>姓名：</w:t>
      </w:r>
    </w:p>
    <w:p>
      <w:pPr>
        <w:keepNext w:val="0"/>
        <w:keepLines w:val="0"/>
        <w:widowControl w:val="0"/>
        <w:suppressLineNumbers w:val="0"/>
        <w:snapToGrid w:val="0"/>
        <w:spacing w:before="0" w:beforeAutospacing="0" w:after="0" w:afterLines="50" w:afterAutospacing="0" w:line="360" w:lineRule="auto"/>
        <w:ind w:left="0" w:right="0" w:firstLine="1506" w:firstLineChars="500"/>
        <w:jc w:val="both"/>
        <w:rPr>
          <w:rFonts w:hint="eastAsia" w:ascii="仿宋_GB2312" w:hAnsi="Calibri" w:eastAsia="仿宋_GB2312" w:cs="Times New Roman"/>
          <w:b/>
          <w:bCs w:val="0"/>
          <w:kern w:val="2"/>
          <w:sz w:val="30"/>
          <w:szCs w:val="30"/>
        </w:rPr>
      </w:pPr>
      <w:r>
        <w:rPr>
          <w:rFonts w:hint="eastAsia" w:ascii="仿宋_GB2312" w:hAnsi="Calibri" w:eastAsia="仿宋_GB2312" w:cs="仿宋_GB2312"/>
          <w:b/>
          <w:bCs w:val="0"/>
          <w:snapToGrid/>
          <w:kern w:val="2"/>
          <w:sz w:val="30"/>
          <w:szCs w:val="30"/>
          <w:lang w:val="en-US" w:eastAsia="zh-CN" w:bidi="ar"/>
        </w:rPr>
        <w:t>学号：</w:t>
      </w:r>
    </w:p>
    <w:p>
      <w:pPr>
        <w:keepNext w:val="0"/>
        <w:keepLines w:val="0"/>
        <w:widowControl w:val="0"/>
        <w:suppressLineNumbers w:val="0"/>
        <w:snapToGrid w:val="0"/>
        <w:spacing w:before="0" w:beforeAutospacing="0" w:after="0" w:afterLines="50" w:afterAutospacing="0" w:line="360" w:lineRule="auto"/>
        <w:ind w:left="0" w:right="0" w:firstLine="1440" w:firstLineChars="478"/>
        <w:jc w:val="both"/>
        <w:rPr>
          <w:rFonts w:hint="eastAsia" w:ascii="仿宋_GB2312" w:hAnsi="Calibri" w:eastAsia="仿宋_GB2312" w:cs="Times New Roman"/>
          <w:b/>
          <w:bCs w:val="0"/>
          <w:kern w:val="2"/>
          <w:sz w:val="30"/>
          <w:szCs w:val="30"/>
        </w:rPr>
      </w:pPr>
      <w:r>
        <w:rPr>
          <w:rFonts w:hint="eastAsia" w:ascii="仿宋_GB2312" w:hAnsi="Calibri" w:eastAsia="仿宋_GB2312" w:cs="仿宋_GB2312"/>
          <w:b/>
          <w:bCs w:val="0"/>
          <w:snapToGrid/>
          <w:kern w:val="2"/>
          <w:sz w:val="30"/>
          <w:szCs w:val="30"/>
          <w:lang w:val="en-US" w:eastAsia="zh-CN" w:bidi="ar"/>
        </w:rPr>
        <w:t>日期：2025年3月20日</w:t>
      </w:r>
    </w:p>
    <w:p>
      <w:pPr>
        <w:pStyle w:val="19"/>
        <w:bidi w:val="0"/>
        <w:rPr>
          <w:rFonts w:hint="eastAsia"/>
        </w:rPr>
      </w:pPr>
    </w:p>
    <w:p>
      <w:pPr>
        <w:pStyle w:val="19"/>
        <w:bidi w:val="0"/>
        <w:rPr>
          <w:rFonts w:hint="eastAsia"/>
        </w:rPr>
      </w:pPr>
    </w:p>
    <w:p>
      <w:pPr>
        <w:pStyle w:val="19"/>
        <w:bidi w:val="0"/>
        <w:spacing w:after="156" w:afterLines="0"/>
        <w:ind w:left="0" w:leftChars="0" w:firstLine="0" w:firstLineChars="0"/>
        <w:jc w:val="both"/>
        <w:rPr>
          <w:rFonts w:hint="eastAsia"/>
        </w:rPr>
      </w:pPr>
    </w:p>
    <w:sdt>
      <w:sdtPr>
        <w:rPr>
          <w:rFonts w:ascii="宋体" w:hAnsi="宋体" w:eastAsia="宋体" w:cstheme="minorBidi"/>
          <w:snapToGrid/>
          <w:kern w:val="2"/>
          <w:sz w:val="21"/>
          <w:szCs w:val="24"/>
          <w:lang w:val="en-US" w:eastAsia="zh-CN" w:bidi="ar-SA"/>
        </w:rPr>
        <w:id w:val="147466009"/>
        <w15:color w:val="DBDBDB"/>
        <w:docPartObj>
          <w:docPartGallery w:val="Table of Contents"/>
          <w:docPartUnique/>
        </w:docPartObj>
      </w:sdtPr>
      <w:sdtEndPr>
        <w:rPr>
          <w:rFonts w:hint="eastAsia" w:ascii="Arial" w:hAnsi="Arial" w:eastAsia="仿宋_GB2312" w:cstheme="minorBidi"/>
          <w:b/>
          <w:snapToGrid/>
          <w:kern w:val="2"/>
          <w:sz w:val="48"/>
          <w:szCs w:val="40"/>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15"/>
            <w:tabs>
              <w:tab w:val="right" w:leader="dot" w:pos="9746"/>
            </w:tabs>
          </w:pPr>
          <w:r>
            <w:rPr>
              <w:rFonts w:hint="eastAsia"/>
            </w:rPr>
            <w:fldChar w:fldCharType="begin"/>
          </w:r>
          <w:r>
            <w:rPr>
              <w:rFonts w:hint="eastAsia"/>
            </w:rPr>
            <w:instrText xml:space="preserve">TOC \o "1-3" \h \u </w:instrText>
          </w:r>
          <w:r>
            <w:rPr>
              <w:rFonts w:hint="eastAsia"/>
            </w:rPr>
            <w:fldChar w:fldCharType="separate"/>
          </w:r>
          <w:r>
            <w:rPr>
              <w:rFonts w:hint="eastAsia"/>
            </w:rPr>
            <w:fldChar w:fldCharType="begin"/>
          </w:r>
          <w:r>
            <w:rPr>
              <w:rFonts w:hint="eastAsia"/>
            </w:rPr>
            <w:instrText xml:space="preserve"> HYPERLINK \l _Toc10883 </w:instrText>
          </w:r>
          <w:r>
            <w:rPr>
              <w:rFonts w:hint="eastAsia"/>
            </w:rPr>
            <w:fldChar w:fldCharType="separate"/>
          </w:r>
          <w:r>
            <w:rPr>
              <w:rFonts w:hint="default" w:ascii="仿宋_GB2312" w:hAnsi="仿宋_GB2312" w:eastAsia="仿宋_GB2312" w:cs="仿宋_GB2312"/>
            </w:rPr>
            <w:t xml:space="preserve">1. </w:t>
          </w:r>
          <w:r>
            <w:rPr>
              <w:rFonts w:hint="eastAsia"/>
            </w:rPr>
            <w:t>目标市场分析</w:t>
          </w:r>
          <w:r>
            <w:tab/>
          </w:r>
          <w:r>
            <w:fldChar w:fldCharType="begin"/>
          </w:r>
          <w:r>
            <w:instrText xml:space="preserve"> PAGEREF _Toc10883 \h </w:instrText>
          </w:r>
          <w:r>
            <w:fldChar w:fldCharType="separate"/>
          </w:r>
          <w:r>
            <w:t>5</w:t>
          </w:r>
          <w:r>
            <w:fldChar w:fldCharType="end"/>
          </w:r>
          <w:r>
            <w:rPr>
              <w:rFonts w:hint="eastAsia"/>
            </w:rPr>
            <w:fldChar w:fldCharType="end"/>
          </w:r>
        </w:p>
        <w:p>
          <w:pPr>
            <w:pStyle w:val="17"/>
            <w:keepNext w:val="0"/>
            <w:keepLines w:val="0"/>
            <w:pageBreakBefore w:val="0"/>
            <w:widowControl w:val="0"/>
            <w:tabs>
              <w:tab w:val="right" w:leader="dot" w:pos="9746"/>
            </w:tabs>
            <w:kinsoku/>
            <w:wordWrap/>
            <w:overflowPunct/>
            <w:topLinePunct w:val="0"/>
            <w:autoSpaceDE/>
            <w:autoSpaceDN/>
            <w:bidi w:val="0"/>
            <w:adjustRightInd/>
            <w:snapToGrid w:val="0"/>
            <w:spacing w:line="240" w:lineRule="auto"/>
            <w:textAlignment w:val="auto"/>
          </w:pPr>
          <w:r>
            <w:rPr>
              <w:rFonts w:hint="eastAsia"/>
            </w:rPr>
            <w:fldChar w:fldCharType="begin"/>
          </w:r>
          <w:r>
            <w:rPr>
              <w:rFonts w:hint="eastAsia"/>
            </w:rPr>
            <w:instrText xml:space="preserve"> HYPERLINK \l _Toc10133 </w:instrText>
          </w:r>
          <w:r>
            <w:rPr>
              <w:rFonts w:hint="eastAsia"/>
            </w:rPr>
            <w:fldChar w:fldCharType="separate"/>
          </w:r>
          <w:r>
            <w:rPr>
              <w:rFonts w:hint="default" w:ascii="仿宋_GB2312" w:hAnsi="仿宋_GB2312" w:eastAsia="仿宋_GB2312" w:cs="仿宋_GB2312"/>
              <w:szCs w:val="21"/>
              <w:lang w:val="en-US" w:eastAsia="zh-CN"/>
            </w:rPr>
            <w:t xml:space="preserve">1.1. </w:t>
          </w:r>
          <w:r>
            <w:rPr>
              <w:rFonts w:hint="eastAsia"/>
              <w:szCs w:val="21"/>
              <w:lang w:val="en-US" w:eastAsia="zh-CN"/>
            </w:rPr>
            <w:t>市场问题现状：管理体系的技术代差与健康服务断层</w:t>
          </w:r>
          <w:r>
            <w:tab/>
          </w:r>
          <w:r>
            <w:fldChar w:fldCharType="begin"/>
          </w:r>
          <w:r>
            <w:instrText xml:space="preserve"> PAGEREF _Toc10133 \h </w:instrText>
          </w:r>
          <w:r>
            <w:fldChar w:fldCharType="separate"/>
          </w:r>
          <w:r>
            <w:t>5</w:t>
          </w:r>
          <w:r>
            <w:fldChar w:fldCharType="end"/>
          </w:r>
          <w:r>
            <w:rPr>
              <w:rFonts w:hint="eastAsia"/>
            </w:rPr>
            <w:fldChar w:fldCharType="end"/>
          </w:r>
        </w:p>
        <w:p>
          <w:pPr>
            <w:pStyle w:val="12"/>
            <w:tabs>
              <w:tab w:val="right" w:leader="dot" w:pos="9746"/>
            </w:tabs>
          </w:pPr>
          <w:r>
            <w:rPr>
              <w:rFonts w:hint="eastAsia"/>
            </w:rPr>
            <w:fldChar w:fldCharType="begin"/>
          </w:r>
          <w:r>
            <w:rPr>
              <w:rFonts w:hint="eastAsia"/>
            </w:rPr>
            <w:instrText xml:space="preserve"> HYPERLINK \l _Toc22256 </w:instrText>
          </w:r>
          <w:r>
            <w:rPr>
              <w:rFonts w:hint="eastAsia"/>
            </w:rPr>
            <w:fldChar w:fldCharType="separate"/>
          </w:r>
          <w:r>
            <w:rPr>
              <w:rFonts w:hint="default" w:ascii="仿宋_GB2312" w:hAnsi="仿宋_GB2312" w:eastAsia="仿宋_GB2312" w:cs="仿宋_GB2312"/>
              <w:szCs w:val="21"/>
            </w:rPr>
            <w:t xml:space="preserve">1.1.1. </w:t>
          </w:r>
          <w:r>
            <w:rPr>
              <w:rFonts w:hint="eastAsia"/>
              <w:szCs w:val="21"/>
              <w:lang w:val="en-US" w:eastAsia="zh-CN"/>
            </w:rPr>
            <w:t>效率低下与信息精准度不足：</w:t>
          </w:r>
          <w:r>
            <w:tab/>
          </w:r>
          <w:r>
            <w:fldChar w:fldCharType="begin"/>
          </w:r>
          <w:r>
            <w:instrText xml:space="preserve"> PAGEREF _Toc22256 \h </w:instrText>
          </w:r>
          <w:r>
            <w:fldChar w:fldCharType="separate"/>
          </w:r>
          <w:r>
            <w:t>5</w:t>
          </w:r>
          <w:r>
            <w:fldChar w:fldCharType="end"/>
          </w:r>
          <w:r>
            <w:rPr>
              <w:rFonts w:hint="eastAsia"/>
            </w:rPr>
            <w:fldChar w:fldCharType="end"/>
          </w:r>
        </w:p>
        <w:p>
          <w:pPr>
            <w:pStyle w:val="12"/>
            <w:tabs>
              <w:tab w:val="right" w:leader="dot" w:pos="9746"/>
            </w:tabs>
          </w:pPr>
          <w:r>
            <w:rPr>
              <w:rFonts w:hint="eastAsia"/>
            </w:rPr>
            <w:fldChar w:fldCharType="begin"/>
          </w:r>
          <w:r>
            <w:rPr>
              <w:rFonts w:hint="eastAsia"/>
            </w:rPr>
            <w:instrText xml:space="preserve"> HYPERLINK \l _Toc12125 </w:instrText>
          </w:r>
          <w:r>
            <w:rPr>
              <w:rFonts w:hint="eastAsia"/>
            </w:rPr>
            <w:fldChar w:fldCharType="separate"/>
          </w:r>
          <w:r>
            <w:rPr>
              <w:rFonts w:hint="default" w:ascii="仿宋_GB2312" w:hAnsi="仿宋_GB2312" w:eastAsia="仿宋_GB2312" w:cs="仿宋_GB2312"/>
              <w:szCs w:val="21"/>
            </w:rPr>
            <w:t xml:space="preserve">1.1.2. </w:t>
          </w:r>
          <w:r>
            <w:rPr>
              <w:rFonts w:hint="eastAsia"/>
              <w:szCs w:val="21"/>
              <w:lang w:val="en-US" w:eastAsia="zh-CN"/>
            </w:rPr>
            <w:t>健康监测断层</w:t>
          </w:r>
          <w:r>
            <w:tab/>
          </w:r>
          <w:r>
            <w:fldChar w:fldCharType="begin"/>
          </w:r>
          <w:r>
            <w:instrText xml:space="preserve"> PAGEREF _Toc12125 \h </w:instrText>
          </w:r>
          <w:r>
            <w:fldChar w:fldCharType="separate"/>
          </w:r>
          <w:r>
            <w:t>5</w:t>
          </w:r>
          <w:r>
            <w:fldChar w:fldCharType="end"/>
          </w:r>
          <w:r>
            <w:rPr>
              <w:rFonts w:hint="eastAsia"/>
            </w:rPr>
            <w:fldChar w:fldCharType="end"/>
          </w:r>
        </w:p>
        <w:p>
          <w:pPr>
            <w:pStyle w:val="12"/>
            <w:tabs>
              <w:tab w:val="right" w:leader="dot" w:pos="9746"/>
            </w:tabs>
          </w:pPr>
          <w:r>
            <w:rPr>
              <w:rFonts w:hint="eastAsia"/>
            </w:rPr>
            <w:fldChar w:fldCharType="begin"/>
          </w:r>
          <w:r>
            <w:rPr>
              <w:rFonts w:hint="eastAsia"/>
            </w:rPr>
            <w:instrText xml:space="preserve"> HYPERLINK \l _Toc9229 </w:instrText>
          </w:r>
          <w:r>
            <w:rPr>
              <w:rFonts w:hint="eastAsia"/>
            </w:rPr>
            <w:fldChar w:fldCharType="separate"/>
          </w:r>
          <w:r>
            <w:rPr>
              <w:rFonts w:hint="default" w:ascii="仿宋_GB2312" w:hAnsi="仿宋_GB2312" w:eastAsia="仿宋_GB2312" w:cs="仿宋_GB2312"/>
              <w:szCs w:val="21"/>
            </w:rPr>
            <w:t xml:space="preserve">1.1.3. </w:t>
          </w:r>
          <w:r>
            <w:rPr>
              <w:rFonts w:hint="eastAsia"/>
              <w:szCs w:val="21"/>
              <w:lang w:val="en-US" w:eastAsia="zh-CN"/>
            </w:rPr>
            <w:t>隐私安全与公众信任危机</w:t>
          </w:r>
          <w:r>
            <w:tab/>
          </w:r>
          <w:r>
            <w:fldChar w:fldCharType="begin"/>
          </w:r>
          <w:r>
            <w:instrText xml:space="preserve"> PAGEREF _Toc9229 \h </w:instrText>
          </w:r>
          <w:r>
            <w:fldChar w:fldCharType="separate"/>
          </w:r>
          <w:r>
            <w:t>6</w:t>
          </w:r>
          <w:r>
            <w:fldChar w:fldCharType="end"/>
          </w:r>
          <w:r>
            <w:rPr>
              <w:rFonts w:hint="eastAsia"/>
            </w:rPr>
            <w:fldChar w:fldCharType="end"/>
          </w:r>
        </w:p>
        <w:p>
          <w:pPr>
            <w:pStyle w:val="12"/>
            <w:tabs>
              <w:tab w:val="right" w:leader="dot" w:pos="9746"/>
            </w:tabs>
          </w:pPr>
          <w:r>
            <w:rPr>
              <w:rFonts w:hint="eastAsia"/>
            </w:rPr>
            <w:fldChar w:fldCharType="begin"/>
          </w:r>
          <w:r>
            <w:rPr>
              <w:rFonts w:hint="eastAsia"/>
            </w:rPr>
            <w:instrText xml:space="preserve"> HYPERLINK \l _Toc30662 </w:instrText>
          </w:r>
          <w:r>
            <w:rPr>
              <w:rFonts w:hint="eastAsia"/>
            </w:rPr>
            <w:fldChar w:fldCharType="separate"/>
          </w:r>
          <w:r>
            <w:rPr>
              <w:rFonts w:hint="default" w:ascii="仿宋_GB2312" w:hAnsi="仿宋_GB2312" w:eastAsia="仿宋_GB2312" w:cs="仿宋_GB2312"/>
              <w:szCs w:val="21"/>
            </w:rPr>
            <w:t xml:space="preserve">1.1.4. </w:t>
          </w:r>
          <w:r>
            <w:rPr>
              <w:rFonts w:hint="eastAsia"/>
              <w:szCs w:val="21"/>
              <w:lang w:val="en-US" w:eastAsia="zh-CN"/>
            </w:rPr>
            <w:t>功能单一与场景延展性不足</w:t>
          </w:r>
          <w:r>
            <w:tab/>
          </w:r>
          <w:r>
            <w:fldChar w:fldCharType="begin"/>
          </w:r>
          <w:r>
            <w:instrText xml:space="preserve"> PAGEREF _Toc30662 \h </w:instrText>
          </w:r>
          <w:r>
            <w:fldChar w:fldCharType="separate"/>
          </w:r>
          <w:r>
            <w:t>6</w:t>
          </w:r>
          <w:r>
            <w:fldChar w:fldCharType="end"/>
          </w:r>
          <w:r>
            <w:rPr>
              <w:rFonts w:hint="eastAsia"/>
            </w:rPr>
            <w:fldChar w:fldCharType="end"/>
          </w:r>
        </w:p>
        <w:p>
          <w:pPr>
            <w:pStyle w:val="12"/>
            <w:tabs>
              <w:tab w:val="right" w:leader="dot" w:pos="9746"/>
            </w:tabs>
          </w:pPr>
          <w:r>
            <w:rPr>
              <w:rFonts w:hint="eastAsia"/>
            </w:rPr>
            <w:fldChar w:fldCharType="begin"/>
          </w:r>
          <w:r>
            <w:rPr>
              <w:rFonts w:hint="eastAsia"/>
            </w:rPr>
            <w:instrText xml:space="preserve"> HYPERLINK \l _Toc9260 </w:instrText>
          </w:r>
          <w:r>
            <w:rPr>
              <w:rFonts w:hint="eastAsia"/>
            </w:rPr>
            <w:fldChar w:fldCharType="separate"/>
          </w:r>
          <w:r>
            <w:rPr>
              <w:rFonts w:hint="default" w:ascii="仿宋_GB2312" w:hAnsi="仿宋_GB2312" w:eastAsia="仿宋_GB2312" w:cs="仿宋_GB2312"/>
              <w:szCs w:val="21"/>
            </w:rPr>
            <w:t xml:space="preserve">1.1.5. </w:t>
          </w:r>
          <w:r>
            <w:rPr>
              <w:rFonts w:hint="eastAsia"/>
              <w:szCs w:val="21"/>
              <w:lang w:val="en-US" w:eastAsia="zh-CN"/>
            </w:rPr>
            <w:t>总结</w:t>
          </w:r>
          <w:r>
            <w:tab/>
          </w:r>
          <w:r>
            <w:fldChar w:fldCharType="begin"/>
          </w:r>
          <w:r>
            <w:instrText xml:space="preserve"> PAGEREF _Toc9260 \h </w:instrText>
          </w:r>
          <w:r>
            <w:fldChar w:fldCharType="separate"/>
          </w:r>
          <w:r>
            <w:t>6</w:t>
          </w:r>
          <w:r>
            <w:fldChar w:fldCharType="end"/>
          </w:r>
          <w:r>
            <w:rPr>
              <w:rFonts w:hint="eastAsia"/>
            </w:rPr>
            <w:fldChar w:fldCharType="end"/>
          </w:r>
        </w:p>
        <w:p>
          <w:pPr>
            <w:pStyle w:val="12"/>
            <w:tabs>
              <w:tab w:val="right" w:leader="dot" w:pos="9746"/>
            </w:tabs>
          </w:pPr>
          <w:r>
            <w:rPr>
              <w:rFonts w:hint="eastAsia"/>
            </w:rPr>
            <w:fldChar w:fldCharType="begin"/>
          </w:r>
          <w:r>
            <w:rPr>
              <w:rFonts w:hint="eastAsia"/>
            </w:rPr>
            <w:instrText xml:space="preserve"> HYPERLINK \l _Toc12663 </w:instrText>
          </w:r>
          <w:r>
            <w:rPr>
              <w:rFonts w:hint="eastAsia"/>
            </w:rPr>
            <w:fldChar w:fldCharType="separate"/>
          </w:r>
          <w:r>
            <w:rPr>
              <w:rFonts w:hint="default" w:ascii="仿宋_GB2312" w:hAnsi="仿宋_GB2312" w:eastAsia="仿宋_GB2312" w:cs="仿宋_GB2312"/>
              <w:szCs w:val="21"/>
            </w:rPr>
            <w:t xml:space="preserve">1.1.6. </w:t>
          </w:r>
          <w:r>
            <w:rPr>
              <w:rFonts w:hint="eastAsia"/>
              <w:szCs w:val="21"/>
              <w:lang w:val="en-US" w:eastAsia="zh-CN"/>
            </w:rPr>
            <w:t>破局方向：智能流调与健康管理的技术重构</w:t>
          </w:r>
          <w:r>
            <w:tab/>
          </w:r>
          <w:r>
            <w:fldChar w:fldCharType="begin"/>
          </w:r>
          <w:r>
            <w:instrText xml:space="preserve"> PAGEREF _Toc12663 \h </w:instrText>
          </w:r>
          <w:r>
            <w:fldChar w:fldCharType="separate"/>
          </w:r>
          <w:r>
            <w:t>6</w:t>
          </w:r>
          <w:r>
            <w:fldChar w:fldCharType="end"/>
          </w:r>
          <w:r>
            <w:rPr>
              <w:rFonts w:hint="eastAsia"/>
            </w:rPr>
            <w:fldChar w:fldCharType="end"/>
          </w:r>
        </w:p>
        <w:p>
          <w:pPr>
            <w:pStyle w:val="17"/>
            <w:tabs>
              <w:tab w:val="right" w:leader="dot" w:pos="9746"/>
            </w:tabs>
          </w:pPr>
          <w:r>
            <w:rPr>
              <w:rFonts w:hint="eastAsia"/>
            </w:rPr>
            <w:fldChar w:fldCharType="begin"/>
          </w:r>
          <w:r>
            <w:rPr>
              <w:rFonts w:hint="eastAsia"/>
            </w:rPr>
            <w:instrText xml:space="preserve"> HYPERLINK \l _Toc30347 </w:instrText>
          </w:r>
          <w:r>
            <w:rPr>
              <w:rFonts w:hint="eastAsia"/>
            </w:rPr>
            <w:fldChar w:fldCharType="separate"/>
          </w:r>
          <w:r>
            <w:rPr>
              <w:rFonts w:hint="default" w:ascii="仿宋_GB2312" w:hAnsi="仿宋_GB2312" w:eastAsia="仿宋_GB2312" w:cs="仿宋_GB2312"/>
              <w:szCs w:val="21"/>
              <w:lang w:val="en-US" w:eastAsia="zh-CN"/>
            </w:rPr>
            <w:t xml:space="preserve">1.2. </w:t>
          </w:r>
          <w:r>
            <w:rPr>
              <w:rFonts w:hint="eastAsia"/>
              <w:szCs w:val="21"/>
              <w:lang w:val="en-US" w:eastAsia="zh-CN"/>
            </w:rPr>
            <w:t>现代流行病状况：全球危机与城市防控的双重挑战</w:t>
          </w:r>
          <w:r>
            <w:tab/>
          </w:r>
          <w:r>
            <w:fldChar w:fldCharType="begin"/>
          </w:r>
          <w:r>
            <w:instrText xml:space="preserve"> PAGEREF _Toc30347 \h </w:instrText>
          </w:r>
          <w:r>
            <w:fldChar w:fldCharType="separate"/>
          </w:r>
          <w:r>
            <w:t>7</w:t>
          </w:r>
          <w:r>
            <w:fldChar w:fldCharType="end"/>
          </w:r>
          <w:r>
            <w:rPr>
              <w:rFonts w:hint="eastAsia"/>
            </w:rPr>
            <w:fldChar w:fldCharType="end"/>
          </w:r>
        </w:p>
        <w:p>
          <w:pPr>
            <w:pStyle w:val="17"/>
            <w:tabs>
              <w:tab w:val="right" w:leader="dot" w:pos="9746"/>
            </w:tabs>
          </w:pPr>
          <w:r>
            <w:rPr>
              <w:rFonts w:hint="eastAsia"/>
            </w:rPr>
            <w:fldChar w:fldCharType="begin"/>
          </w:r>
          <w:r>
            <w:rPr>
              <w:rFonts w:hint="eastAsia"/>
            </w:rPr>
            <w:instrText xml:space="preserve"> HYPERLINK \l _Toc13089 </w:instrText>
          </w:r>
          <w:r>
            <w:rPr>
              <w:rFonts w:hint="eastAsia"/>
            </w:rPr>
            <w:fldChar w:fldCharType="separate"/>
          </w:r>
          <w:r>
            <w:rPr>
              <w:rFonts w:hint="default" w:ascii="仿宋_GB2312" w:hAnsi="仿宋_GB2312" w:eastAsia="仿宋_GB2312" w:cs="仿宋_GB2312"/>
              <w:szCs w:val="21"/>
            </w:rPr>
            <w:t xml:space="preserve">1.3. </w:t>
          </w:r>
          <w:r>
            <w:rPr>
              <w:rFonts w:hint="eastAsia"/>
              <w:szCs w:val="21"/>
              <w:lang w:val="en-US" w:eastAsia="zh-CN"/>
            </w:rPr>
            <w:t>政策背景</w:t>
          </w:r>
          <w:r>
            <w:tab/>
          </w:r>
          <w:r>
            <w:fldChar w:fldCharType="begin"/>
          </w:r>
          <w:r>
            <w:instrText xml:space="preserve"> PAGEREF _Toc13089 \h </w:instrText>
          </w:r>
          <w:r>
            <w:fldChar w:fldCharType="separate"/>
          </w:r>
          <w:r>
            <w:t>8</w:t>
          </w:r>
          <w:r>
            <w:fldChar w:fldCharType="end"/>
          </w:r>
          <w:r>
            <w:rPr>
              <w:rFonts w:hint="eastAsia"/>
            </w:rPr>
            <w:fldChar w:fldCharType="end"/>
          </w:r>
        </w:p>
        <w:p>
          <w:pPr>
            <w:pStyle w:val="17"/>
            <w:tabs>
              <w:tab w:val="right" w:leader="dot" w:pos="9746"/>
            </w:tabs>
          </w:pPr>
          <w:r>
            <w:rPr>
              <w:rFonts w:hint="eastAsia"/>
            </w:rPr>
            <w:fldChar w:fldCharType="begin"/>
          </w:r>
          <w:r>
            <w:rPr>
              <w:rFonts w:hint="eastAsia"/>
            </w:rPr>
            <w:instrText xml:space="preserve"> HYPERLINK \l _Toc8669 </w:instrText>
          </w:r>
          <w:r>
            <w:rPr>
              <w:rFonts w:hint="eastAsia"/>
            </w:rPr>
            <w:fldChar w:fldCharType="separate"/>
          </w:r>
          <w:r>
            <w:rPr>
              <w:rFonts w:hint="default" w:ascii="仿宋_GB2312" w:hAnsi="仿宋_GB2312" w:eastAsia="仿宋_GB2312" w:cs="仿宋_GB2312"/>
              <w:szCs w:val="21"/>
            </w:rPr>
            <w:t xml:space="preserve">1.4. </w:t>
          </w:r>
          <w:r>
            <w:rPr>
              <w:rFonts w:hint="eastAsia"/>
              <w:szCs w:val="21"/>
              <w:lang w:val="en-US" w:eastAsia="zh-CN"/>
            </w:rPr>
            <w:t>竞争格局</w:t>
          </w:r>
          <w:r>
            <w:tab/>
          </w:r>
          <w:r>
            <w:fldChar w:fldCharType="begin"/>
          </w:r>
          <w:r>
            <w:instrText xml:space="preserve"> PAGEREF _Toc8669 \h </w:instrText>
          </w:r>
          <w:r>
            <w:fldChar w:fldCharType="separate"/>
          </w:r>
          <w:r>
            <w:t>10</w:t>
          </w:r>
          <w:r>
            <w:fldChar w:fldCharType="end"/>
          </w:r>
          <w:r>
            <w:rPr>
              <w:rFonts w:hint="eastAsia"/>
            </w:rPr>
            <w:fldChar w:fldCharType="end"/>
          </w:r>
        </w:p>
        <w:p>
          <w:pPr>
            <w:pStyle w:val="12"/>
            <w:tabs>
              <w:tab w:val="right" w:leader="dot" w:pos="9746"/>
            </w:tabs>
          </w:pPr>
          <w:r>
            <w:rPr>
              <w:rFonts w:hint="eastAsia"/>
            </w:rPr>
            <w:fldChar w:fldCharType="begin"/>
          </w:r>
          <w:r>
            <w:rPr>
              <w:rFonts w:hint="eastAsia"/>
            </w:rPr>
            <w:instrText xml:space="preserve"> HYPERLINK \l _Toc20580 </w:instrText>
          </w:r>
          <w:r>
            <w:rPr>
              <w:rFonts w:hint="eastAsia"/>
            </w:rPr>
            <w:fldChar w:fldCharType="separate"/>
          </w:r>
          <w:r>
            <w:rPr>
              <w:rFonts w:hint="default" w:ascii="仿宋_GB2312" w:hAnsi="仿宋_GB2312" w:eastAsia="仿宋_GB2312" w:cs="仿宋_GB2312"/>
              <w:szCs w:val="21"/>
            </w:rPr>
            <w:t xml:space="preserve">1.4.1. </w:t>
          </w:r>
          <w:r>
            <w:rPr>
              <w:rFonts w:hint="eastAsia"/>
              <w:szCs w:val="21"/>
              <w:lang w:val="en-US" w:eastAsia="zh-CN"/>
            </w:rPr>
            <w:t>智慧医疗行业分析</w:t>
          </w:r>
          <w:r>
            <w:tab/>
          </w:r>
          <w:r>
            <w:fldChar w:fldCharType="begin"/>
          </w:r>
          <w:r>
            <w:instrText xml:space="preserve"> PAGEREF _Toc20580 \h </w:instrText>
          </w:r>
          <w:r>
            <w:fldChar w:fldCharType="separate"/>
          </w:r>
          <w:r>
            <w:t>10</w:t>
          </w:r>
          <w:r>
            <w:fldChar w:fldCharType="end"/>
          </w:r>
          <w:r>
            <w:rPr>
              <w:rFonts w:hint="eastAsia"/>
            </w:rPr>
            <w:fldChar w:fldCharType="end"/>
          </w:r>
        </w:p>
        <w:p>
          <w:pPr>
            <w:pStyle w:val="12"/>
            <w:tabs>
              <w:tab w:val="right" w:leader="dot" w:pos="9746"/>
            </w:tabs>
          </w:pPr>
          <w:r>
            <w:rPr>
              <w:rFonts w:hint="eastAsia"/>
            </w:rPr>
            <w:fldChar w:fldCharType="begin"/>
          </w:r>
          <w:r>
            <w:rPr>
              <w:rFonts w:hint="eastAsia"/>
            </w:rPr>
            <w:instrText xml:space="preserve"> HYPERLINK \l _Toc23564 </w:instrText>
          </w:r>
          <w:r>
            <w:rPr>
              <w:rFonts w:hint="eastAsia"/>
            </w:rPr>
            <w:fldChar w:fldCharType="separate"/>
          </w:r>
          <w:r>
            <w:rPr>
              <w:rFonts w:hint="default" w:ascii="仿宋_GB2312" w:hAnsi="仿宋_GB2312" w:eastAsia="仿宋_GB2312" w:cs="仿宋_GB2312"/>
              <w:szCs w:val="21"/>
            </w:rPr>
            <w:t xml:space="preserve">1.4.2. </w:t>
          </w:r>
          <w:r>
            <w:rPr>
              <w:rFonts w:hint="eastAsia"/>
              <w:szCs w:val="21"/>
              <w:lang w:val="en-US" w:eastAsia="zh-CN"/>
            </w:rPr>
            <w:t>竞品分析</w:t>
          </w:r>
          <w:r>
            <w:tab/>
          </w:r>
          <w:r>
            <w:fldChar w:fldCharType="begin"/>
          </w:r>
          <w:r>
            <w:instrText xml:space="preserve"> PAGEREF _Toc23564 \h </w:instrText>
          </w:r>
          <w:r>
            <w:fldChar w:fldCharType="separate"/>
          </w:r>
          <w:r>
            <w:t>11</w:t>
          </w:r>
          <w:r>
            <w:fldChar w:fldCharType="end"/>
          </w:r>
          <w:r>
            <w:rPr>
              <w:rFonts w:hint="eastAsia"/>
            </w:rPr>
            <w:fldChar w:fldCharType="end"/>
          </w:r>
        </w:p>
        <w:p>
          <w:pPr>
            <w:pStyle w:val="15"/>
            <w:tabs>
              <w:tab w:val="right" w:leader="dot" w:pos="9746"/>
            </w:tabs>
          </w:pPr>
          <w:r>
            <w:rPr>
              <w:rFonts w:hint="eastAsia"/>
            </w:rPr>
            <w:fldChar w:fldCharType="begin"/>
          </w:r>
          <w:r>
            <w:rPr>
              <w:rFonts w:hint="eastAsia"/>
            </w:rPr>
            <w:instrText xml:space="preserve"> HYPERLINK \l _Toc7432 </w:instrText>
          </w:r>
          <w:r>
            <w:rPr>
              <w:rFonts w:hint="eastAsia"/>
            </w:rPr>
            <w:fldChar w:fldCharType="separate"/>
          </w:r>
          <w:r>
            <w:rPr>
              <w:rFonts w:hint="default" w:ascii="仿宋_GB2312" w:hAnsi="仿宋_GB2312" w:eastAsia="仿宋_GB2312" w:cs="仿宋_GB2312"/>
            </w:rPr>
            <w:t xml:space="preserve">2. </w:t>
          </w:r>
          <w:r>
            <w:rPr>
              <w:rFonts w:hint="eastAsia"/>
              <w:lang w:val="en-US" w:eastAsia="zh-CN"/>
            </w:rPr>
            <w:t>产品设计</w:t>
          </w:r>
          <w:r>
            <w:tab/>
          </w:r>
          <w:r>
            <w:fldChar w:fldCharType="begin"/>
          </w:r>
          <w:r>
            <w:instrText xml:space="preserve"> PAGEREF _Toc7432 \h </w:instrText>
          </w:r>
          <w:r>
            <w:fldChar w:fldCharType="separate"/>
          </w:r>
          <w:r>
            <w:t>14</w:t>
          </w:r>
          <w:r>
            <w:fldChar w:fldCharType="end"/>
          </w:r>
          <w:r>
            <w:rPr>
              <w:rFonts w:hint="eastAsia"/>
            </w:rPr>
            <w:fldChar w:fldCharType="end"/>
          </w:r>
        </w:p>
        <w:p>
          <w:pPr>
            <w:pStyle w:val="17"/>
            <w:tabs>
              <w:tab w:val="right" w:leader="dot" w:pos="9746"/>
            </w:tabs>
          </w:pPr>
          <w:r>
            <w:rPr>
              <w:rFonts w:hint="eastAsia"/>
            </w:rPr>
            <w:fldChar w:fldCharType="begin"/>
          </w:r>
          <w:r>
            <w:rPr>
              <w:rFonts w:hint="eastAsia"/>
            </w:rPr>
            <w:instrText xml:space="preserve"> HYPERLINK \l _Toc28969 </w:instrText>
          </w:r>
          <w:r>
            <w:rPr>
              <w:rFonts w:hint="eastAsia"/>
            </w:rPr>
            <w:fldChar w:fldCharType="separate"/>
          </w:r>
          <w:r>
            <w:rPr>
              <w:rFonts w:hint="default" w:ascii="仿宋_GB2312" w:hAnsi="仿宋_GB2312" w:eastAsia="仿宋_GB2312" w:cs="仿宋_GB2312"/>
              <w:szCs w:val="21"/>
              <w:lang w:val="en-US" w:eastAsia="zh-CN"/>
            </w:rPr>
            <w:t xml:space="preserve">2.1. </w:t>
          </w:r>
          <w:r>
            <w:rPr>
              <w:rFonts w:hint="eastAsia"/>
              <w:szCs w:val="21"/>
              <w:lang w:val="en-US" w:eastAsia="zh-CN"/>
            </w:rPr>
            <w:t>项目产品及服务</w:t>
          </w:r>
          <w:r>
            <w:tab/>
          </w:r>
          <w:r>
            <w:fldChar w:fldCharType="begin"/>
          </w:r>
          <w:r>
            <w:instrText xml:space="preserve"> PAGEREF _Toc28969 \h </w:instrText>
          </w:r>
          <w:r>
            <w:fldChar w:fldCharType="separate"/>
          </w:r>
          <w:r>
            <w:t>14</w:t>
          </w:r>
          <w:r>
            <w:fldChar w:fldCharType="end"/>
          </w:r>
          <w:r>
            <w:rPr>
              <w:rFonts w:hint="eastAsia"/>
            </w:rPr>
            <w:fldChar w:fldCharType="end"/>
          </w:r>
        </w:p>
        <w:p>
          <w:pPr>
            <w:pStyle w:val="12"/>
            <w:tabs>
              <w:tab w:val="right" w:leader="dot" w:pos="9746"/>
            </w:tabs>
          </w:pPr>
          <w:r>
            <w:rPr>
              <w:rFonts w:hint="eastAsia"/>
            </w:rPr>
            <w:fldChar w:fldCharType="begin"/>
          </w:r>
          <w:r>
            <w:rPr>
              <w:rFonts w:hint="eastAsia"/>
            </w:rPr>
            <w:instrText xml:space="preserve"> HYPERLINK \l _Toc9914 </w:instrText>
          </w:r>
          <w:r>
            <w:rPr>
              <w:rFonts w:hint="eastAsia"/>
            </w:rPr>
            <w:fldChar w:fldCharType="separate"/>
          </w:r>
          <w:r>
            <w:rPr>
              <w:rFonts w:hint="default" w:ascii="仿宋_GB2312" w:hAnsi="仿宋_GB2312" w:eastAsia="仿宋_GB2312" w:cs="仿宋_GB2312"/>
              <w:szCs w:val="21"/>
              <w:lang w:val="en-US" w:eastAsia="zh-CN"/>
            </w:rPr>
            <w:t xml:space="preserve">2.1.3. </w:t>
          </w:r>
          <w:r>
            <w:rPr>
              <w:rFonts w:hint="eastAsia"/>
              <w:szCs w:val="21"/>
              <w:lang w:val="en-US" w:eastAsia="zh-CN"/>
            </w:rPr>
            <w:t>发热门诊流调界面</w:t>
          </w:r>
          <w:r>
            <w:tab/>
          </w:r>
          <w:r>
            <w:fldChar w:fldCharType="begin"/>
          </w:r>
          <w:r>
            <w:instrText xml:space="preserve"> PAGEREF _Toc9914 \h </w:instrText>
          </w:r>
          <w:r>
            <w:fldChar w:fldCharType="separate"/>
          </w:r>
          <w:r>
            <w:t>15</w:t>
          </w:r>
          <w:r>
            <w:fldChar w:fldCharType="end"/>
          </w:r>
          <w:r>
            <w:rPr>
              <w:rFonts w:hint="eastAsia"/>
            </w:rPr>
            <w:fldChar w:fldCharType="end"/>
          </w:r>
        </w:p>
        <w:p>
          <w:pPr>
            <w:pStyle w:val="12"/>
            <w:tabs>
              <w:tab w:val="right" w:leader="dot" w:pos="9746"/>
            </w:tabs>
          </w:pPr>
          <w:r>
            <w:rPr>
              <w:rFonts w:hint="eastAsia"/>
            </w:rPr>
            <w:fldChar w:fldCharType="begin"/>
          </w:r>
          <w:r>
            <w:rPr>
              <w:rFonts w:hint="eastAsia"/>
            </w:rPr>
            <w:instrText xml:space="preserve"> HYPERLINK \l _Toc19098 </w:instrText>
          </w:r>
          <w:r>
            <w:rPr>
              <w:rFonts w:hint="eastAsia"/>
            </w:rPr>
            <w:fldChar w:fldCharType="separate"/>
          </w:r>
          <w:r>
            <w:rPr>
              <w:rFonts w:hint="default" w:ascii="仿宋_GB2312" w:hAnsi="仿宋_GB2312" w:eastAsia="仿宋_GB2312" w:cs="仿宋_GB2312"/>
              <w:szCs w:val="21"/>
              <w:lang w:val="en-US" w:eastAsia="zh-CN"/>
            </w:rPr>
            <w:t xml:space="preserve">2.1.4. </w:t>
          </w:r>
          <w:r>
            <w:rPr>
              <w:rFonts w:hint="eastAsia"/>
              <w:szCs w:val="21"/>
              <w:lang w:val="en-US" w:eastAsia="zh-CN"/>
            </w:rPr>
            <w:t>患者主界面</w:t>
          </w:r>
          <w:r>
            <w:tab/>
          </w:r>
          <w:r>
            <w:fldChar w:fldCharType="begin"/>
          </w:r>
          <w:r>
            <w:instrText xml:space="preserve"> PAGEREF _Toc19098 \h </w:instrText>
          </w:r>
          <w:r>
            <w:fldChar w:fldCharType="separate"/>
          </w:r>
          <w:r>
            <w:t>17</w:t>
          </w:r>
          <w:r>
            <w:fldChar w:fldCharType="end"/>
          </w:r>
          <w:r>
            <w:rPr>
              <w:rFonts w:hint="eastAsia"/>
            </w:rPr>
            <w:fldChar w:fldCharType="end"/>
          </w:r>
        </w:p>
        <w:p>
          <w:pPr>
            <w:pStyle w:val="12"/>
            <w:tabs>
              <w:tab w:val="right" w:leader="dot" w:pos="9746"/>
            </w:tabs>
          </w:pPr>
          <w:r>
            <w:rPr>
              <w:rFonts w:hint="eastAsia"/>
            </w:rPr>
            <w:fldChar w:fldCharType="begin"/>
          </w:r>
          <w:r>
            <w:rPr>
              <w:rFonts w:hint="eastAsia"/>
            </w:rPr>
            <w:instrText xml:space="preserve"> HYPERLINK \l _Toc16876 </w:instrText>
          </w:r>
          <w:r>
            <w:rPr>
              <w:rFonts w:hint="eastAsia"/>
            </w:rPr>
            <w:fldChar w:fldCharType="separate"/>
          </w:r>
          <w:r>
            <w:rPr>
              <w:rFonts w:hint="default" w:ascii="仿宋_GB2312" w:hAnsi="仿宋_GB2312" w:eastAsia="仿宋_GB2312" w:cs="仿宋_GB2312"/>
              <w:szCs w:val="21"/>
              <w:lang w:val="en-US" w:eastAsia="zh-CN"/>
            </w:rPr>
            <w:t xml:space="preserve">2.1.5. </w:t>
          </w:r>
          <w:r>
            <w:rPr>
              <w:rFonts w:hint="eastAsia"/>
              <w:szCs w:val="21"/>
              <w:lang w:val="en-US" w:eastAsia="zh-CN"/>
            </w:rPr>
            <w:t>离院患者动态追踪界面</w:t>
          </w:r>
          <w:r>
            <w:tab/>
          </w:r>
          <w:r>
            <w:fldChar w:fldCharType="begin"/>
          </w:r>
          <w:r>
            <w:instrText xml:space="preserve"> PAGEREF _Toc16876 \h </w:instrText>
          </w:r>
          <w:r>
            <w:fldChar w:fldCharType="separate"/>
          </w:r>
          <w:r>
            <w:t>18</w:t>
          </w:r>
          <w:r>
            <w:fldChar w:fldCharType="end"/>
          </w:r>
          <w:r>
            <w:rPr>
              <w:rFonts w:hint="eastAsia"/>
            </w:rPr>
            <w:fldChar w:fldCharType="end"/>
          </w:r>
        </w:p>
        <w:p>
          <w:pPr>
            <w:pStyle w:val="17"/>
            <w:tabs>
              <w:tab w:val="right" w:leader="dot" w:pos="9746"/>
            </w:tabs>
          </w:pPr>
          <w:r>
            <w:rPr>
              <w:rFonts w:hint="eastAsia"/>
            </w:rPr>
            <w:fldChar w:fldCharType="begin"/>
          </w:r>
          <w:r>
            <w:rPr>
              <w:rFonts w:hint="eastAsia"/>
            </w:rPr>
            <w:instrText xml:space="preserve"> HYPERLINK \l _Toc24846 </w:instrText>
          </w:r>
          <w:r>
            <w:rPr>
              <w:rFonts w:hint="eastAsia"/>
            </w:rPr>
            <w:fldChar w:fldCharType="separate"/>
          </w:r>
          <w:r>
            <w:rPr>
              <w:rFonts w:hint="default" w:ascii="仿宋_GB2312" w:hAnsi="仿宋_GB2312" w:eastAsia="仿宋_GB2312" w:cs="仿宋_GB2312"/>
              <w:szCs w:val="21"/>
            </w:rPr>
            <w:t xml:space="preserve">2.2. </w:t>
          </w:r>
          <w:r>
            <w:rPr>
              <w:rFonts w:hint="eastAsia"/>
              <w:szCs w:val="21"/>
              <w:lang w:val="en-US" w:eastAsia="zh-CN"/>
            </w:rPr>
            <w:t>技术原理</w:t>
          </w:r>
          <w:r>
            <w:tab/>
          </w:r>
          <w:r>
            <w:fldChar w:fldCharType="begin"/>
          </w:r>
          <w:r>
            <w:instrText xml:space="preserve"> PAGEREF _Toc24846 \h </w:instrText>
          </w:r>
          <w:r>
            <w:fldChar w:fldCharType="separate"/>
          </w:r>
          <w:r>
            <w:t>19</w:t>
          </w:r>
          <w:r>
            <w:fldChar w:fldCharType="end"/>
          </w:r>
          <w:r>
            <w:rPr>
              <w:rFonts w:hint="eastAsia"/>
            </w:rPr>
            <w:fldChar w:fldCharType="end"/>
          </w:r>
        </w:p>
        <w:p>
          <w:pPr>
            <w:pStyle w:val="12"/>
            <w:tabs>
              <w:tab w:val="right" w:leader="dot" w:pos="9746"/>
            </w:tabs>
          </w:pPr>
          <w:r>
            <w:rPr>
              <w:rFonts w:hint="eastAsia"/>
            </w:rPr>
            <w:fldChar w:fldCharType="begin"/>
          </w:r>
          <w:r>
            <w:rPr>
              <w:rFonts w:hint="eastAsia"/>
            </w:rPr>
            <w:instrText xml:space="preserve"> HYPERLINK \l _Toc10897 </w:instrText>
          </w:r>
          <w:r>
            <w:rPr>
              <w:rFonts w:hint="eastAsia"/>
            </w:rPr>
            <w:fldChar w:fldCharType="separate"/>
          </w:r>
          <w:r>
            <w:rPr>
              <w:rFonts w:hint="default" w:ascii="仿宋_GB2312" w:hAnsi="仿宋_GB2312" w:eastAsia="仿宋_GB2312" w:cs="仿宋_GB2312"/>
              <w:szCs w:val="21"/>
            </w:rPr>
            <w:t xml:space="preserve">2.2.1. </w:t>
          </w:r>
          <w:r>
            <w:rPr>
              <w:rFonts w:hint="eastAsia"/>
              <w:szCs w:val="21"/>
              <w:lang w:val="en-US" w:eastAsia="zh-CN"/>
            </w:rPr>
            <w:t>技术架构设计：分层解耦与高效协同</w:t>
          </w:r>
          <w:r>
            <w:tab/>
          </w:r>
          <w:r>
            <w:fldChar w:fldCharType="begin"/>
          </w:r>
          <w:r>
            <w:instrText xml:space="preserve"> PAGEREF _Toc10897 \h </w:instrText>
          </w:r>
          <w:r>
            <w:fldChar w:fldCharType="separate"/>
          </w:r>
          <w:r>
            <w:t>19</w:t>
          </w:r>
          <w:r>
            <w:fldChar w:fldCharType="end"/>
          </w:r>
          <w:r>
            <w:rPr>
              <w:rFonts w:hint="eastAsia"/>
            </w:rPr>
            <w:fldChar w:fldCharType="end"/>
          </w:r>
        </w:p>
        <w:p>
          <w:pPr>
            <w:pStyle w:val="12"/>
            <w:tabs>
              <w:tab w:val="right" w:leader="dot" w:pos="9746"/>
            </w:tabs>
          </w:pPr>
          <w:r>
            <w:rPr>
              <w:rFonts w:hint="eastAsia"/>
            </w:rPr>
            <w:fldChar w:fldCharType="begin"/>
          </w:r>
          <w:r>
            <w:rPr>
              <w:rFonts w:hint="eastAsia"/>
            </w:rPr>
            <w:instrText xml:space="preserve"> HYPERLINK \l _Toc30400 </w:instrText>
          </w:r>
          <w:r>
            <w:rPr>
              <w:rFonts w:hint="eastAsia"/>
            </w:rPr>
            <w:fldChar w:fldCharType="separate"/>
          </w:r>
          <w:r>
            <w:rPr>
              <w:rFonts w:hint="default" w:ascii="仿宋_GB2312" w:hAnsi="仿宋_GB2312" w:eastAsia="仿宋_GB2312" w:cs="仿宋_GB2312"/>
              <w:szCs w:val="21"/>
            </w:rPr>
            <w:t xml:space="preserve">2.2.2. </w:t>
          </w:r>
          <w:r>
            <w:rPr>
              <w:rFonts w:hint="eastAsia"/>
              <w:szCs w:val="21"/>
              <w:lang w:val="en-US" w:eastAsia="zh-CN"/>
            </w:rPr>
            <w:t>动态流调引擎：精准防控的技术基座</w:t>
          </w:r>
          <w:r>
            <w:tab/>
          </w:r>
          <w:r>
            <w:fldChar w:fldCharType="begin"/>
          </w:r>
          <w:r>
            <w:instrText xml:space="preserve"> PAGEREF _Toc30400 \h </w:instrText>
          </w:r>
          <w:r>
            <w:fldChar w:fldCharType="separate"/>
          </w:r>
          <w:r>
            <w:t>20</w:t>
          </w:r>
          <w:r>
            <w:fldChar w:fldCharType="end"/>
          </w:r>
          <w:r>
            <w:rPr>
              <w:rFonts w:hint="eastAsia"/>
            </w:rPr>
            <w:fldChar w:fldCharType="end"/>
          </w:r>
        </w:p>
        <w:p>
          <w:pPr>
            <w:pStyle w:val="12"/>
            <w:tabs>
              <w:tab w:val="right" w:leader="dot" w:pos="9746"/>
            </w:tabs>
          </w:pPr>
          <w:r>
            <w:rPr>
              <w:rFonts w:hint="eastAsia"/>
            </w:rPr>
            <w:fldChar w:fldCharType="begin"/>
          </w:r>
          <w:r>
            <w:rPr>
              <w:rFonts w:hint="eastAsia"/>
            </w:rPr>
            <w:instrText xml:space="preserve"> HYPERLINK \l _Toc32705 </w:instrText>
          </w:r>
          <w:r>
            <w:rPr>
              <w:rFonts w:hint="eastAsia"/>
            </w:rPr>
            <w:fldChar w:fldCharType="separate"/>
          </w:r>
          <w:r>
            <w:rPr>
              <w:rFonts w:hint="default" w:ascii="仿宋_GB2312" w:hAnsi="仿宋_GB2312" w:eastAsia="仿宋_GB2312" w:cs="仿宋_GB2312"/>
              <w:szCs w:val="21"/>
            </w:rPr>
            <w:t xml:space="preserve">2.2.3. </w:t>
          </w:r>
          <w:r>
            <w:rPr>
              <w:rFonts w:hint="eastAsia"/>
              <w:szCs w:val="21"/>
              <w:lang w:val="en-US" w:eastAsia="zh-CN"/>
            </w:rPr>
            <w:t>多模态数据融合：构建全域健康画像</w:t>
          </w:r>
          <w:r>
            <w:tab/>
          </w:r>
          <w:r>
            <w:fldChar w:fldCharType="begin"/>
          </w:r>
          <w:r>
            <w:instrText xml:space="preserve"> PAGEREF _Toc32705 \h </w:instrText>
          </w:r>
          <w:r>
            <w:fldChar w:fldCharType="separate"/>
          </w:r>
          <w:r>
            <w:t>20</w:t>
          </w:r>
          <w:r>
            <w:fldChar w:fldCharType="end"/>
          </w:r>
          <w:r>
            <w:rPr>
              <w:rFonts w:hint="eastAsia"/>
            </w:rPr>
            <w:fldChar w:fldCharType="end"/>
          </w:r>
        </w:p>
        <w:p>
          <w:pPr>
            <w:pStyle w:val="12"/>
            <w:tabs>
              <w:tab w:val="right" w:leader="dot" w:pos="9746"/>
            </w:tabs>
          </w:pPr>
          <w:r>
            <w:rPr>
              <w:rFonts w:hint="eastAsia"/>
            </w:rPr>
            <w:fldChar w:fldCharType="begin"/>
          </w:r>
          <w:r>
            <w:rPr>
              <w:rFonts w:hint="eastAsia"/>
            </w:rPr>
            <w:instrText xml:space="preserve"> HYPERLINK \l _Toc9476 </w:instrText>
          </w:r>
          <w:r>
            <w:rPr>
              <w:rFonts w:hint="eastAsia"/>
            </w:rPr>
            <w:fldChar w:fldCharType="separate"/>
          </w:r>
          <w:r>
            <w:rPr>
              <w:rFonts w:hint="default" w:ascii="仿宋_GB2312" w:hAnsi="仿宋_GB2312" w:eastAsia="仿宋_GB2312" w:cs="仿宋_GB2312"/>
              <w:szCs w:val="21"/>
            </w:rPr>
            <w:t xml:space="preserve">2.2.4. </w:t>
          </w:r>
          <w:r>
            <w:rPr>
              <w:rFonts w:hint="eastAsia"/>
              <w:szCs w:val="21"/>
              <w:lang w:val="en-US" w:eastAsia="zh-CN"/>
            </w:rPr>
            <w:t>闭环反馈与自进化机制：系统的持续优化能力</w:t>
          </w:r>
          <w:r>
            <w:tab/>
          </w:r>
          <w:r>
            <w:fldChar w:fldCharType="begin"/>
          </w:r>
          <w:r>
            <w:instrText xml:space="preserve"> PAGEREF _Toc9476 \h </w:instrText>
          </w:r>
          <w:r>
            <w:fldChar w:fldCharType="separate"/>
          </w:r>
          <w:r>
            <w:t>21</w:t>
          </w:r>
          <w:r>
            <w:fldChar w:fldCharType="end"/>
          </w:r>
          <w:r>
            <w:rPr>
              <w:rFonts w:hint="eastAsia"/>
            </w:rPr>
            <w:fldChar w:fldCharType="end"/>
          </w:r>
        </w:p>
        <w:p>
          <w:pPr>
            <w:pStyle w:val="12"/>
            <w:tabs>
              <w:tab w:val="right" w:leader="dot" w:pos="9746"/>
            </w:tabs>
          </w:pPr>
          <w:r>
            <w:rPr>
              <w:rFonts w:hint="eastAsia"/>
            </w:rPr>
            <w:fldChar w:fldCharType="begin"/>
          </w:r>
          <w:r>
            <w:rPr>
              <w:rFonts w:hint="eastAsia"/>
            </w:rPr>
            <w:instrText xml:space="preserve"> HYPERLINK \l _Toc6548 </w:instrText>
          </w:r>
          <w:r>
            <w:rPr>
              <w:rFonts w:hint="eastAsia"/>
            </w:rPr>
            <w:fldChar w:fldCharType="separate"/>
          </w:r>
          <w:r>
            <w:rPr>
              <w:rFonts w:hint="default" w:ascii="仿宋_GB2312" w:hAnsi="仿宋_GB2312" w:eastAsia="仿宋_GB2312" w:cs="仿宋_GB2312"/>
              <w:szCs w:val="21"/>
            </w:rPr>
            <w:t xml:space="preserve">2.2.5. </w:t>
          </w:r>
          <w:r>
            <w:rPr>
              <w:rFonts w:hint="eastAsia"/>
              <w:szCs w:val="21"/>
              <w:lang w:val="en-US" w:eastAsia="zh-CN"/>
            </w:rPr>
            <w:t>安全与合规：隐私保护的技术防线</w:t>
          </w:r>
          <w:r>
            <w:tab/>
          </w:r>
          <w:r>
            <w:fldChar w:fldCharType="begin"/>
          </w:r>
          <w:r>
            <w:instrText xml:space="preserve"> PAGEREF _Toc6548 \h </w:instrText>
          </w:r>
          <w:r>
            <w:fldChar w:fldCharType="separate"/>
          </w:r>
          <w:r>
            <w:t>21</w:t>
          </w:r>
          <w:r>
            <w:fldChar w:fldCharType="end"/>
          </w:r>
          <w:r>
            <w:rPr>
              <w:rFonts w:hint="eastAsia"/>
            </w:rPr>
            <w:fldChar w:fldCharType="end"/>
          </w:r>
        </w:p>
        <w:p>
          <w:pPr>
            <w:pStyle w:val="12"/>
            <w:tabs>
              <w:tab w:val="right" w:leader="dot" w:pos="9746"/>
            </w:tabs>
          </w:pPr>
          <w:r>
            <w:rPr>
              <w:rFonts w:hint="eastAsia"/>
            </w:rPr>
            <w:fldChar w:fldCharType="begin"/>
          </w:r>
          <w:r>
            <w:rPr>
              <w:rFonts w:hint="eastAsia"/>
            </w:rPr>
            <w:instrText xml:space="preserve"> HYPERLINK \l _Toc24393 </w:instrText>
          </w:r>
          <w:r>
            <w:rPr>
              <w:rFonts w:hint="eastAsia"/>
            </w:rPr>
            <w:fldChar w:fldCharType="separate"/>
          </w:r>
          <w:r>
            <w:rPr>
              <w:rFonts w:hint="default" w:ascii="仿宋_GB2312" w:hAnsi="仿宋_GB2312" w:eastAsia="仿宋_GB2312" w:cs="仿宋_GB2312"/>
              <w:szCs w:val="21"/>
            </w:rPr>
            <w:t xml:space="preserve">2.2.6. </w:t>
          </w:r>
          <w:r>
            <w:rPr>
              <w:rFonts w:hint="eastAsia"/>
              <w:szCs w:val="21"/>
              <w:lang w:val="en-US" w:eastAsia="zh-CN"/>
            </w:rPr>
            <w:t>轻量化部署与场景延展</w:t>
          </w:r>
          <w:r>
            <w:tab/>
          </w:r>
          <w:r>
            <w:fldChar w:fldCharType="begin"/>
          </w:r>
          <w:r>
            <w:instrText xml:space="preserve"> PAGEREF _Toc24393 \h </w:instrText>
          </w:r>
          <w:r>
            <w:fldChar w:fldCharType="separate"/>
          </w:r>
          <w:r>
            <w:t>21</w:t>
          </w:r>
          <w:r>
            <w:fldChar w:fldCharType="end"/>
          </w:r>
          <w:r>
            <w:rPr>
              <w:rFonts w:hint="eastAsia"/>
            </w:rPr>
            <w:fldChar w:fldCharType="end"/>
          </w:r>
        </w:p>
        <w:p>
          <w:pPr>
            <w:pStyle w:val="17"/>
            <w:tabs>
              <w:tab w:val="right" w:leader="dot" w:pos="9746"/>
            </w:tabs>
          </w:pPr>
          <w:r>
            <w:rPr>
              <w:rFonts w:hint="eastAsia"/>
            </w:rPr>
            <w:fldChar w:fldCharType="begin"/>
          </w:r>
          <w:r>
            <w:rPr>
              <w:rFonts w:hint="eastAsia"/>
            </w:rPr>
            <w:instrText xml:space="preserve"> HYPERLINK \l _Toc29359 </w:instrText>
          </w:r>
          <w:r>
            <w:rPr>
              <w:rFonts w:hint="eastAsia"/>
            </w:rPr>
            <w:fldChar w:fldCharType="separate"/>
          </w:r>
          <w:r>
            <w:rPr>
              <w:rFonts w:hint="default" w:ascii="仿宋_GB2312" w:hAnsi="仿宋_GB2312" w:eastAsia="仿宋_GB2312" w:cs="仿宋_GB2312"/>
              <w:szCs w:val="21"/>
            </w:rPr>
            <w:t xml:space="preserve">2.3. </w:t>
          </w:r>
          <w:r>
            <w:rPr>
              <w:rFonts w:hint="eastAsia"/>
              <w:szCs w:val="21"/>
            </w:rPr>
            <w:t>主要功能</w:t>
          </w:r>
          <w:r>
            <w:tab/>
          </w:r>
          <w:r>
            <w:fldChar w:fldCharType="begin"/>
          </w:r>
          <w:r>
            <w:instrText xml:space="preserve"> PAGEREF _Toc29359 \h </w:instrText>
          </w:r>
          <w:r>
            <w:fldChar w:fldCharType="separate"/>
          </w:r>
          <w:r>
            <w:t>22</w:t>
          </w:r>
          <w:r>
            <w:fldChar w:fldCharType="end"/>
          </w:r>
          <w:r>
            <w:rPr>
              <w:rFonts w:hint="eastAsia"/>
            </w:rPr>
            <w:fldChar w:fldCharType="end"/>
          </w:r>
        </w:p>
        <w:p>
          <w:pPr>
            <w:pStyle w:val="17"/>
            <w:tabs>
              <w:tab w:val="right" w:leader="dot" w:pos="9746"/>
            </w:tabs>
          </w:pPr>
          <w:r>
            <w:rPr>
              <w:rFonts w:hint="eastAsia"/>
            </w:rPr>
            <w:fldChar w:fldCharType="begin"/>
          </w:r>
          <w:r>
            <w:rPr>
              <w:rFonts w:hint="eastAsia"/>
            </w:rPr>
            <w:instrText xml:space="preserve"> HYPERLINK \l _Toc24286 </w:instrText>
          </w:r>
          <w:r>
            <w:rPr>
              <w:rFonts w:hint="eastAsia"/>
            </w:rPr>
            <w:fldChar w:fldCharType="separate"/>
          </w:r>
          <w:r>
            <w:rPr>
              <w:rFonts w:hint="default" w:ascii="仿宋_GB2312" w:hAnsi="仿宋_GB2312" w:eastAsia="仿宋_GB2312" w:cs="仿宋_GB2312"/>
              <w:szCs w:val="21"/>
            </w:rPr>
            <w:t xml:space="preserve">2.4. </w:t>
          </w:r>
          <w:r>
            <w:rPr>
              <w:rFonts w:hint="eastAsia"/>
              <w:szCs w:val="21"/>
            </w:rPr>
            <w:t>核心竞争力</w:t>
          </w:r>
          <w:r>
            <w:tab/>
          </w:r>
          <w:r>
            <w:fldChar w:fldCharType="begin"/>
          </w:r>
          <w:r>
            <w:instrText xml:space="preserve"> PAGEREF _Toc24286 \h </w:instrText>
          </w:r>
          <w:r>
            <w:fldChar w:fldCharType="separate"/>
          </w:r>
          <w:r>
            <w:t>25</w:t>
          </w:r>
          <w:r>
            <w:fldChar w:fldCharType="end"/>
          </w:r>
          <w:r>
            <w:rPr>
              <w:rFonts w:hint="eastAsia"/>
            </w:rPr>
            <w:fldChar w:fldCharType="end"/>
          </w:r>
        </w:p>
        <w:p>
          <w:pPr>
            <w:pStyle w:val="12"/>
            <w:tabs>
              <w:tab w:val="right" w:leader="dot" w:pos="9746"/>
            </w:tabs>
          </w:pPr>
          <w:r>
            <w:rPr>
              <w:rFonts w:hint="eastAsia"/>
            </w:rPr>
            <w:fldChar w:fldCharType="begin"/>
          </w:r>
          <w:r>
            <w:rPr>
              <w:rFonts w:hint="eastAsia"/>
            </w:rPr>
            <w:instrText xml:space="preserve"> HYPERLINK \l _Toc27480 </w:instrText>
          </w:r>
          <w:r>
            <w:rPr>
              <w:rFonts w:hint="eastAsia"/>
            </w:rPr>
            <w:fldChar w:fldCharType="separate"/>
          </w:r>
          <w:r>
            <w:rPr>
              <w:rFonts w:hint="default" w:ascii="仿宋_GB2312" w:hAnsi="仿宋_GB2312" w:eastAsia="仿宋_GB2312" w:cs="仿宋_GB2312"/>
              <w:szCs w:val="21"/>
            </w:rPr>
            <w:t xml:space="preserve">2.4.1. </w:t>
          </w:r>
          <w:r>
            <w:rPr>
              <w:rFonts w:hint="eastAsia"/>
              <w:szCs w:val="21"/>
              <w:lang w:val="en-US" w:eastAsia="zh-CN"/>
            </w:rPr>
            <w:t>主动问答与精准防控的颠覆性创新</w:t>
          </w:r>
          <w:r>
            <w:tab/>
          </w:r>
          <w:r>
            <w:fldChar w:fldCharType="begin"/>
          </w:r>
          <w:r>
            <w:instrText xml:space="preserve"> PAGEREF _Toc27480 \h </w:instrText>
          </w:r>
          <w:r>
            <w:fldChar w:fldCharType="separate"/>
          </w:r>
          <w:r>
            <w:t>25</w:t>
          </w:r>
          <w:r>
            <w:fldChar w:fldCharType="end"/>
          </w:r>
          <w:r>
            <w:rPr>
              <w:rFonts w:hint="eastAsia"/>
            </w:rPr>
            <w:fldChar w:fldCharType="end"/>
          </w:r>
        </w:p>
        <w:p>
          <w:pPr>
            <w:pStyle w:val="12"/>
            <w:tabs>
              <w:tab w:val="right" w:leader="dot" w:pos="9746"/>
            </w:tabs>
          </w:pPr>
          <w:r>
            <w:rPr>
              <w:rFonts w:hint="eastAsia"/>
            </w:rPr>
            <w:fldChar w:fldCharType="begin"/>
          </w:r>
          <w:r>
            <w:rPr>
              <w:rFonts w:hint="eastAsia"/>
            </w:rPr>
            <w:instrText xml:space="preserve"> HYPERLINK \l _Toc17993 </w:instrText>
          </w:r>
          <w:r>
            <w:rPr>
              <w:rFonts w:hint="eastAsia"/>
            </w:rPr>
            <w:fldChar w:fldCharType="separate"/>
          </w:r>
          <w:r>
            <w:rPr>
              <w:rFonts w:hint="default" w:ascii="仿宋_GB2312" w:hAnsi="仿宋_GB2312" w:eastAsia="仿宋_GB2312" w:cs="仿宋_GB2312"/>
              <w:szCs w:val="21"/>
              <w:lang w:val="en-US" w:eastAsia="zh-CN"/>
            </w:rPr>
            <w:t xml:space="preserve">2.4.2. </w:t>
          </w:r>
          <w:r>
            <w:rPr>
              <w:rFonts w:hint="eastAsia"/>
              <w:szCs w:val="21"/>
              <w:lang w:val="en-US" w:eastAsia="zh-CN"/>
            </w:rPr>
            <w:t>安全与智能双轮驱动，全链路隐私保护与合规治理</w:t>
          </w:r>
          <w:r>
            <w:tab/>
          </w:r>
          <w:r>
            <w:fldChar w:fldCharType="begin"/>
          </w:r>
          <w:r>
            <w:instrText xml:space="preserve"> PAGEREF _Toc17993 \h </w:instrText>
          </w:r>
          <w:r>
            <w:fldChar w:fldCharType="separate"/>
          </w:r>
          <w:r>
            <w:t>25</w:t>
          </w:r>
          <w:r>
            <w:fldChar w:fldCharType="end"/>
          </w:r>
          <w:r>
            <w:rPr>
              <w:rFonts w:hint="eastAsia"/>
            </w:rPr>
            <w:fldChar w:fldCharType="end"/>
          </w:r>
        </w:p>
        <w:p>
          <w:pPr>
            <w:pStyle w:val="12"/>
            <w:tabs>
              <w:tab w:val="right" w:leader="dot" w:pos="9746"/>
            </w:tabs>
          </w:pPr>
          <w:r>
            <w:rPr>
              <w:rFonts w:hint="eastAsia"/>
            </w:rPr>
            <w:fldChar w:fldCharType="begin"/>
          </w:r>
          <w:r>
            <w:rPr>
              <w:rFonts w:hint="eastAsia"/>
            </w:rPr>
            <w:instrText xml:space="preserve"> HYPERLINK \l _Toc6667 </w:instrText>
          </w:r>
          <w:r>
            <w:rPr>
              <w:rFonts w:hint="eastAsia"/>
            </w:rPr>
            <w:fldChar w:fldCharType="separate"/>
          </w:r>
          <w:r>
            <w:rPr>
              <w:rFonts w:hint="default" w:ascii="仿宋_GB2312" w:hAnsi="仿宋_GB2312" w:eastAsia="仿宋_GB2312" w:cs="仿宋_GB2312"/>
              <w:szCs w:val="21"/>
              <w:lang w:val="en-US" w:eastAsia="zh-CN"/>
            </w:rPr>
            <w:t xml:space="preserve">2.4.3. </w:t>
          </w:r>
          <w:r>
            <w:rPr>
              <w:rFonts w:hint="eastAsia"/>
              <w:szCs w:val="21"/>
              <w:lang w:val="en-US" w:eastAsia="zh-CN"/>
            </w:rPr>
            <w:t>无接触交互与感染风险规避</w:t>
          </w:r>
          <w:r>
            <w:tab/>
          </w:r>
          <w:r>
            <w:fldChar w:fldCharType="begin"/>
          </w:r>
          <w:r>
            <w:instrText xml:space="preserve"> PAGEREF _Toc6667 \h </w:instrText>
          </w:r>
          <w:r>
            <w:fldChar w:fldCharType="separate"/>
          </w:r>
          <w:r>
            <w:t>25</w:t>
          </w:r>
          <w:r>
            <w:fldChar w:fldCharType="end"/>
          </w:r>
          <w:r>
            <w:rPr>
              <w:rFonts w:hint="eastAsia"/>
            </w:rPr>
            <w:fldChar w:fldCharType="end"/>
          </w:r>
        </w:p>
        <w:p>
          <w:pPr>
            <w:pStyle w:val="12"/>
            <w:tabs>
              <w:tab w:val="right" w:leader="dot" w:pos="9746"/>
            </w:tabs>
          </w:pPr>
          <w:r>
            <w:rPr>
              <w:rFonts w:hint="eastAsia"/>
            </w:rPr>
            <w:fldChar w:fldCharType="begin"/>
          </w:r>
          <w:r>
            <w:rPr>
              <w:rFonts w:hint="eastAsia"/>
            </w:rPr>
            <w:instrText xml:space="preserve"> HYPERLINK \l _Toc32754 </w:instrText>
          </w:r>
          <w:r>
            <w:rPr>
              <w:rFonts w:hint="eastAsia"/>
            </w:rPr>
            <w:fldChar w:fldCharType="separate"/>
          </w:r>
          <w:r>
            <w:rPr>
              <w:rFonts w:hint="default" w:ascii="仿宋_GB2312" w:hAnsi="仿宋_GB2312" w:eastAsia="仿宋_GB2312" w:cs="仿宋_GB2312"/>
              <w:szCs w:val="21"/>
              <w:lang w:val="en-US" w:eastAsia="zh-CN"/>
            </w:rPr>
            <w:t xml:space="preserve">2.4.4. </w:t>
          </w:r>
          <w:r>
            <w:rPr>
              <w:rFonts w:hint="eastAsia"/>
              <w:szCs w:val="21"/>
              <w:lang w:val="en-US" w:eastAsia="zh-CN"/>
            </w:rPr>
            <w:t>多源数据融合与社会价值闭环</w:t>
          </w:r>
          <w:r>
            <w:tab/>
          </w:r>
          <w:r>
            <w:fldChar w:fldCharType="begin"/>
          </w:r>
          <w:r>
            <w:instrText xml:space="preserve"> PAGEREF _Toc32754 \h </w:instrText>
          </w:r>
          <w:r>
            <w:fldChar w:fldCharType="separate"/>
          </w:r>
          <w:r>
            <w:t>26</w:t>
          </w:r>
          <w:r>
            <w:fldChar w:fldCharType="end"/>
          </w:r>
          <w:r>
            <w:rPr>
              <w:rFonts w:hint="eastAsia"/>
            </w:rPr>
            <w:fldChar w:fldCharType="end"/>
          </w:r>
        </w:p>
        <w:p>
          <w:pPr>
            <w:pStyle w:val="12"/>
            <w:tabs>
              <w:tab w:val="right" w:leader="dot" w:pos="9746"/>
            </w:tabs>
          </w:pPr>
          <w:r>
            <w:rPr>
              <w:rFonts w:hint="eastAsia"/>
            </w:rPr>
            <w:fldChar w:fldCharType="begin"/>
          </w:r>
          <w:r>
            <w:rPr>
              <w:rFonts w:hint="eastAsia"/>
            </w:rPr>
            <w:instrText xml:space="preserve"> HYPERLINK \l _Toc15852 </w:instrText>
          </w:r>
          <w:r>
            <w:rPr>
              <w:rFonts w:hint="eastAsia"/>
            </w:rPr>
            <w:fldChar w:fldCharType="separate"/>
          </w:r>
          <w:r>
            <w:rPr>
              <w:rFonts w:hint="default" w:ascii="仿宋_GB2312" w:hAnsi="仿宋_GB2312" w:eastAsia="仿宋_GB2312" w:cs="仿宋_GB2312"/>
              <w:szCs w:val="21"/>
              <w:lang w:val="en-US" w:eastAsia="zh-CN"/>
            </w:rPr>
            <w:t xml:space="preserve">2.4.5. </w:t>
          </w:r>
          <w:r>
            <w:rPr>
              <w:rFonts w:hint="eastAsia"/>
              <w:szCs w:val="21"/>
              <w:lang w:val="en-US" w:eastAsia="zh-CN"/>
            </w:rPr>
            <w:t>模块化架构与跨场景扩展能力，社会价值与经济效益兼具</w:t>
          </w:r>
          <w:r>
            <w:tab/>
          </w:r>
          <w:r>
            <w:fldChar w:fldCharType="begin"/>
          </w:r>
          <w:r>
            <w:instrText xml:space="preserve"> PAGEREF _Toc15852 \h </w:instrText>
          </w:r>
          <w:r>
            <w:fldChar w:fldCharType="separate"/>
          </w:r>
          <w:r>
            <w:t>26</w:t>
          </w:r>
          <w:r>
            <w:fldChar w:fldCharType="end"/>
          </w:r>
          <w:r>
            <w:rPr>
              <w:rFonts w:hint="eastAsia"/>
            </w:rPr>
            <w:fldChar w:fldCharType="end"/>
          </w:r>
        </w:p>
        <w:p>
          <w:pPr>
            <w:pStyle w:val="12"/>
            <w:tabs>
              <w:tab w:val="right" w:leader="dot" w:pos="9746"/>
            </w:tabs>
          </w:pPr>
          <w:r>
            <w:rPr>
              <w:rFonts w:hint="eastAsia"/>
            </w:rPr>
            <w:fldChar w:fldCharType="begin"/>
          </w:r>
          <w:r>
            <w:rPr>
              <w:rFonts w:hint="eastAsia"/>
            </w:rPr>
            <w:instrText xml:space="preserve"> HYPERLINK \l _Toc15202 </w:instrText>
          </w:r>
          <w:r>
            <w:rPr>
              <w:rFonts w:hint="eastAsia"/>
            </w:rPr>
            <w:fldChar w:fldCharType="separate"/>
          </w:r>
          <w:r>
            <w:rPr>
              <w:rFonts w:hint="default" w:ascii="仿宋_GB2312" w:hAnsi="仿宋_GB2312" w:eastAsia="仿宋_GB2312" w:cs="仿宋_GB2312"/>
              <w:szCs w:val="21"/>
              <w:lang w:val="en-US" w:eastAsia="zh-CN"/>
            </w:rPr>
            <w:t xml:space="preserve">2.4.6. </w:t>
          </w:r>
          <w:r>
            <w:rPr>
              <w:rFonts w:hint="eastAsia"/>
              <w:szCs w:val="21"/>
              <w:lang w:val="en-US" w:eastAsia="zh-CN"/>
            </w:rPr>
            <w:t>商业模式创新：B端与C端价值闭环</w:t>
          </w:r>
          <w:r>
            <w:tab/>
          </w:r>
          <w:r>
            <w:fldChar w:fldCharType="begin"/>
          </w:r>
          <w:r>
            <w:instrText xml:space="preserve"> PAGEREF _Toc15202 \h </w:instrText>
          </w:r>
          <w:r>
            <w:fldChar w:fldCharType="separate"/>
          </w:r>
          <w:r>
            <w:t>26</w:t>
          </w:r>
          <w:r>
            <w:fldChar w:fldCharType="end"/>
          </w:r>
          <w:r>
            <w:rPr>
              <w:rFonts w:hint="eastAsia"/>
            </w:rPr>
            <w:fldChar w:fldCharType="end"/>
          </w:r>
        </w:p>
        <w:p>
          <w:pPr>
            <w:pStyle w:val="12"/>
            <w:tabs>
              <w:tab w:val="right" w:leader="dot" w:pos="9746"/>
            </w:tabs>
          </w:pPr>
          <w:r>
            <w:rPr>
              <w:rFonts w:hint="eastAsia"/>
            </w:rPr>
            <w:fldChar w:fldCharType="begin"/>
          </w:r>
          <w:r>
            <w:rPr>
              <w:rFonts w:hint="eastAsia"/>
            </w:rPr>
            <w:instrText xml:space="preserve"> HYPERLINK \l _Toc18821 </w:instrText>
          </w:r>
          <w:r>
            <w:rPr>
              <w:rFonts w:hint="eastAsia"/>
            </w:rPr>
            <w:fldChar w:fldCharType="separate"/>
          </w:r>
          <w:r>
            <w:rPr>
              <w:rFonts w:hint="default" w:ascii="仿宋_GB2312" w:hAnsi="仿宋_GB2312" w:eastAsia="仿宋_GB2312" w:cs="仿宋_GB2312"/>
              <w:szCs w:val="21"/>
              <w:lang w:val="en-US" w:eastAsia="zh-CN"/>
            </w:rPr>
            <w:t xml:space="preserve">2.4.7. </w:t>
          </w:r>
          <w:r>
            <w:rPr>
              <w:rFonts w:hint="eastAsia"/>
              <w:szCs w:val="21"/>
              <w:lang w:val="en-US" w:eastAsia="zh-CN"/>
            </w:rPr>
            <w:t>平疫结合，社会价值突出</w:t>
          </w:r>
          <w:r>
            <w:tab/>
          </w:r>
          <w:r>
            <w:fldChar w:fldCharType="begin"/>
          </w:r>
          <w:r>
            <w:instrText xml:space="preserve"> PAGEREF _Toc18821 \h </w:instrText>
          </w:r>
          <w:r>
            <w:fldChar w:fldCharType="separate"/>
          </w:r>
          <w:r>
            <w:t>26</w:t>
          </w:r>
          <w:r>
            <w:fldChar w:fldCharType="end"/>
          </w:r>
          <w:r>
            <w:rPr>
              <w:rFonts w:hint="eastAsia"/>
            </w:rPr>
            <w:fldChar w:fldCharType="end"/>
          </w:r>
        </w:p>
        <w:p>
          <w:pPr>
            <w:pStyle w:val="17"/>
            <w:tabs>
              <w:tab w:val="right" w:leader="dot" w:pos="9746"/>
            </w:tabs>
          </w:pPr>
          <w:r>
            <w:rPr>
              <w:rFonts w:hint="eastAsia"/>
            </w:rPr>
            <w:fldChar w:fldCharType="begin"/>
          </w:r>
          <w:r>
            <w:rPr>
              <w:rFonts w:hint="eastAsia"/>
            </w:rPr>
            <w:instrText xml:space="preserve"> HYPERLINK \l _Toc17785 </w:instrText>
          </w:r>
          <w:r>
            <w:rPr>
              <w:rFonts w:hint="eastAsia"/>
            </w:rPr>
            <w:fldChar w:fldCharType="separate"/>
          </w:r>
          <w:r>
            <w:rPr>
              <w:rFonts w:hint="default" w:ascii="仿宋_GB2312" w:hAnsi="仿宋_GB2312" w:eastAsia="仿宋_GB2312" w:cs="仿宋_GB2312"/>
              <w:szCs w:val="21"/>
            </w:rPr>
            <w:t xml:space="preserve">2.5. </w:t>
          </w:r>
          <w:r>
            <w:rPr>
              <w:rFonts w:hint="eastAsia"/>
              <w:szCs w:val="21"/>
            </w:rPr>
            <w:t>产品定位</w:t>
          </w:r>
          <w:r>
            <w:tab/>
          </w:r>
          <w:r>
            <w:fldChar w:fldCharType="begin"/>
          </w:r>
          <w:r>
            <w:instrText xml:space="preserve"> PAGEREF _Toc17785 \h </w:instrText>
          </w:r>
          <w:r>
            <w:fldChar w:fldCharType="separate"/>
          </w:r>
          <w:r>
            <w:t>26</w:t>
          </w:r>
          <w:r>
            <w:fldChar w:fldCharType="end"/>
          </w:r>
          <w:r>
            <w:rPr>
              <w:rFonts w:hint="eastAsia"/>
            </w:rPr>
            <w:fldChar w:fldCharType="end"/>
          </w:r>
        </w:p>
        <w:p>
          <w:pPr>
            <w:pStyle w:val="12"/>
            <w:tabs>
              <w:tab w:val="right" w:leader="dot" w:pos="9746"/>
            </w:tabs>
          </w:pPr>
          <w:r>
            <w:rPr>
              <w:rFonts w:hint="eastAsia"/>
            </w:rPr>
            <w:fldChar w:fldCharType="begin"/>
          </w:r>
          <w:r>
            <w:rPr>
              <w:rFonts w:hint="eastAsia"/>
            </w:rPr>
            <w:instrText xml:space="preserve"> HYPERLINK \l _Toc28849 </w:instrText>
          </w:r>
          <w:r>
            <w:rPr>
              <w:rFonts w:hint="eastAsia"/>
            </w:rPr>
            <w:fldChar w:fldCharType="separate"/>
          </w:r>
          <w:r>
            <w:rPr>
              <w:rFonts w:hint="default" w:ascii="仿宋_GB2312" w:hAnsi="仿宋_GB2312" w:eastAsia="仿宋_GB2312" w:cs="仿宋_GB2312"/>
              <w:szCs w:val="21"/>
            </w:rPr>
            <w:t xml:space="preserve">2.5.1. </w:t>
          </w:r>
          <w:r>
            <w:rPr>
              <w:rFonts w:hint="eastAsia"/>
              <w:szCs w:val="21"/>
              <w:lang w:val="en-US" w:eastAsia="zh-CN"/>
            </w:rPr>
            <w:t>技术定位：动态智能与安全合规的双重标杆</w:t>
          </w:r>
          <w:r>
            <w:tab/>
          </w:r>
          <w:r>
            <w:fldChar w:fldCharType="begin"/>
          </w:r>
          <w:r>
            <w:instrText xml:space="preserve"> PAGEREF _Toc28849 \h </w:instrText>
          </w:r>
          <w:r>
            <w:fldChar w:fldCharType="separate"/>
          </w:r>
          <w:r>
            <w:t>27</w:t>
          </w:r>
          <w:r>
            <w:fldChar w:fldCharType="end"/>
          </w:r>
          <w:r>
            <w:rPr>
              <w:rFonts w:hint="eastAsia"/>
            </w:rPr>
            <w:fldChar w:fldCharType="end"/>
          </w:r>
        </w:p>
        <w:p>
          <w:pPr>
            <w:pStyle w:val="12"/>
            <w:tabs>
              <w:tab w:val="right" w:leader="dot" w:pos="9746"/>
            </w:tabs>
          </w:pPr>
          <w:r>
            <w:rPr>
              <w:rFonts w:hint="eastAsia"/>
            </w:rPr>
            <w:fldChar w:fldCharType="begin"/>
          </w:r>
          <w:r>
            <w:rPr>
              <w:rFonts w:hint="eastAsia"/>
            </w:rPr>
            <w:instrText xml:space="preserve"> HYPERLINK \l _Toc6976 </w:instrText>
          </w:r>
          <w:r>
            <w:rPr>
              <w:rFonts w:hint="eastAsia"/>
            </w:rPr>
            <w:fldChar w:fldCharType="separate"/>
          </w:r>
          <w:r>
            <w:rPr>
              <w:rFonts w:hint="default" w:ascii="仿宋_GB2312" w:hAnsi="仿宋_GB2312" w:eastAsia="仿宋_GB2312" w:cs="仿宋_GB2312"/>
              <w:szCs w:val="21"/>
            </w:rPr>
            <w:t xml:space="preserve">2.5.2. </w:t>
          </w:r>
          <w:r>
            <w:rPr>
              <w:rFonts w:hint="eastAsia"/>
              <w:szCs w:val="21"/>
              <w:lang w:val="en-US" w:eastAsia="zh-CN"/>
            </w:rPr>
            <w:t>场景定位：从发热防控到健康管理的生态贯通</w:t>
          </w:r>
          <w:r>
            <w:tab/>
          </w:r>
          <w:r>
            <w:fldChar w:fldCharType="begin"/>
          </w:r>
          <w:r>
            <w:instrText xml:space="preserve"> PAGEREF _Toc6976 \h </w:instrText>
          </w:r>
          <w:r>
            <w:fldChar w:fldCharType="separate"/>
          </w:r>
          <w:r>
            <w:t>27</w:t>
          </w:r>
          <w:r>
            <w:fldChar w:fldCharType="end"/>
          </w:r>
          <w:r>
            <w:rPr>
              <w:rFonts w:hint="eastAsia"/>
            </w:rPr>
            <w:fldChar w:fldCharType="end"/>
          </w:r>
        </w:p>
        <w:p>
          <w:pPr>
            <w:pStyle w:val="12"/>
            <w:tabs>
              <w:tab w:val="right" w:leader="dot" w:pos="9746"/>
            </w:tabs>
          </w:pPr>
          <w:r>
            <w:rPr>
              <w:rFonts w:hint="eastAsia"/>
            </w:rPr>
            <w:fldChar w:fldCharType="begin"/>
          </w:r>
          <w:r>
            <w:rPr>
              <w:rFonts w:hint="eastAsia"/>
            </w:rPr>
            <w:instrText xml:space="preserve"> HYPERLINK \l _Toc15011 </w:instrText>
          </w:r>
          <w:r>
            <w:rPr>
              <w:rFonts w:hint="eastAsia"/>
            </w:rPr>
            <w:fldChar w:fldCharType="separate"/>
          </w:r>
          <w:r>
            <w:rPr>
              <w:rFonts w:hint="default" w:ascii="仿宋_GB2312" w:hAnsi="仿宋_GB2312" w:eastAsia="仿宋_GB2312" w:cs="仿宋_GB2312"/>
              <w:szCs w:val="21"/>
            </w:rPr>
            <w:t xml:space="preserve">2.5.3. </w:t>
          </w:r>
          <w:r>
            <w:rPr>
              <w:rFonts w:hint="eastAsia"/>
              <w:szCs w:val="21"/>
              <w:lang w:val="en-US" w:eastAsia="zh-CN"/>
            </w:rPr>
            <w:t>市场定位：低成本开源驱动的基层普惠</w:t>
          </w:r>
          <w:r>
            <w:tab/>
          </w:r>
          <w:r>
            <w:fldChar w:fldCharType="begin"/>
          </w:r>
          <w:r>
            <w:instrText xml:space="preserve"> PAGEREF _Toc15011 \h </w:instrText>
          </w:r>
          <w:r>
            <w:fldChar w:fldCharType="separate"/>
          </w:r>
          <w:r>
            <w:t>27</w:t>
          </w:r>
          <w:r>
            <w:fldChar w:fldCharType="end"/>
          </w:r>
          <w:r>
            <w:rPr>
              <w:rFonts w:hint="eastAsia"/>
            </w:rPr>
            <w:fldChar w:fldCharType="end"/>
          </w:r>
        </w:p>
        <w:p>
          <w:pPr>
            <w:pStyle w:val="12"/>
            <w:tabs>
              <w:tab w:val="right" w:leader="dot" w:pos="9746"/>
            </w:tabs>
          </w:pPr>
          <w:r>
            <w:rPr>
              <w:rFonts w:hint="eastAsia"/>
            </w:rPr>
            <w:fldChar w:fldCharType="begin"/>
          </w:r>
          <w:r>
            <w:rPr>
              <w:rFonts w:hint="eastAsia"/>
            </w:rPr>
            <w:instrText xml:space="preserve"> HYPERLINK \l _Toc21561 </w:instrText>
          </w:r>
          <w:r>
            <w:rPr>
              <w:rFonts w:hint="eastAsia"/>
            </w:rPr>
            <w:fldChar w:fldCharType="separate"/>
          </w:r>
          <w:r>
            <w:rPr>
              <w:rFonts w:hint="default" w:ascii="仿宋_GB2312" w:hAnsi="仿宋_GB2312" w:eastAsia="仿宋_GB2312" w:cs="仿宋_GB2312"/>
              <w:szCs w:val="21"/>
            </w:rPr>
            <w:t xml:space="preserve">2.5.4. </w:t>
          </w:r>
          <w:r>
            <w:rPr>
              <w:rFonts w:hint="eastAsia"/>
              <w:szCs w:val="21"/>
              <w:lang w:val="en-US" w:eastAsia="zh-CN"/>
            </w:rPr>
            <w:t>价值定位：数据驱动的公共卫生决策中枢</w:t>
          </w:r>
          <w:r>
            <w:tab/>
          </w:r>
          <w:r>
            <w:fldChar w:fldCharType="begin"/>
          </w:r>
          <w:r>
            <w:instrText xml:space="preserve"> PAGEREF _Toc21561 \h </w:instrText>
          </w:r>
          <w:r>
            <w:fldChar w:fldCharType="separate"/>
          </w:r>
          <w:r>
            <w:t>27</w:t>
          </w:r>
          <w:r>
            <w:fldChar w:fldCharType="end"/>
          </w:r>
          <w:r>
            <w:rPr>
              <w:rFonts w:hint="eastAsia"/>
            </w:rPr>
            <w:fldChar w:fldCharType="end"/>
          </w:r>
        </w:p>
        <w:p>
          <w:pPr>
            <w:pStyle w:val="12"/>
            <w:tabs>
              <w:tab w:val="right" w:leader="dot" w:pos="9746"/>
            </w:tabs>
          </w:pPr>
          <w:r>
            <w:rPr>
              <w:rFonts w:hint="eastAsia"/>
            </w:rPr>
            <w:fldChar w:fldCharType="begin"/>
          </w:r>
          <w:r>
            <w:rPr>
              <w:rFonts w:hint="eastAsia"/>
            </w:rPr>
            <w:instrText xml:space="preserve"> HYPERLINK \l _Toc24939 </w:instrText>
          </w:r>
          <w:r>
            <w:rPr>
              <w:rFonts w:hint="eastAsia"/>
            </w:rPr>
            <w:fldChar w:fldCharType="separate"/>
          </w:r>
          <w:r>
            <w:rPr>
              <w:rFonts w:hint="default" w:ascii="仿宋_GB2312" w:hAnsi="仿宋_GB2312" w:eastAsia="仿宋_GB2312" w:cs="仿宋_GB2312"/>
              <w:szCs w:val="21"/>
            </w:rPr>
            <w:t xml:space="preserve">2.5.5. </w:t>
          </w:r>
          <w:r>
            <w:rPr>
              <w:rFonts w:hint="eastAsia"/>
              <w:szCs w:val="21"/>
              <w:lang w:val="en-US" w:eastAsia="zh-CN"/>
            </w:rPr>
            <w:t>差异化竞争：技术普惠与商业闭环的双重壁垒</w:t>
          </w:r>
          <w:r>
            <w:tab/>
          </w:r>
          <w:r>
            <w:fldChar w:fldCharType="begin"/>
          </w:r>
          <w:r>
            <w:instrText xml:space="preserve"> PAGEREF _Toc24939 \h </w:instrText>
          </w:r>
          <w:r>
            <w:fldChar w:fldCharType="separate"/>
          </w:r>
          <w:r>
            <w:t>28</w:t>
          </w:r>
          <w:r>
            <w:fldChar w:fldCharType="end"/>
          </w:r>
          <w:r>
            <w:rPr>
              <w:rFonts w:hint="eastAsia"/>
            </w:rPr>
            <w:fldChar w:fldCharType="end"/>
          </w:r>
        </w:p>
        <w:p>
          <w:pPr>
            <w:pStyle w:val="15"/>
            <w:tabs>
              <w:tab w:val="right" w:leader="dot" w:pos="9746"/>
            </w:tabs>
          </w:pPr>
          <w:r>
            <w:rPr>
              <w:rFonts w:hint="eastAsia"/>
            </w:rPr>
            <w:fldChar w:fldCharType="begin"/>
          </w:r>
          <w:r>
            <w:rPr>
              <w:rFonts w:hint="eastAsia"/>
            </w:rPr>
            <w:instrText xml:space="preserve"> HYPERLINK \l _Toc10342 </w:instrText>
          </w:r>
          <w:r>
            <w:rPr>
              <w:rFonts w:hint="eastAsia"/>
            </w:rPr>
            <w:fldChar w:fldCharType="separate"/>
          </w:r>
          <w:r>
            <w:rPr>
              <w:rFonts w:hint="default" w:ascii="仿宋_GB2312" w:hAnsi="仿宋_GB2312" w:eastAsia="仿宋_GB2312" w:cs="仿宋_GB2312"/>
            </w:rPr>
            <w:t xml:space="preserve">3. </w:t>
          </w:r>
          <w:r>
            <w:rPr>
              <w:rFonts w:hint="eastAsia"/>
              <w:lang w:val="en-US" w:eastAsia="zh-CN"/>
            </w:rPr>
            <w:t>商业模式</w:t>
          </w:r>
          <w:r>
            <w:tab/>
          </w:r>
          <w:r>
            <w:fldChar w:fldCharType="begin"/>
          </w:r>
          <w:r>
            <w:instrText xml:space="preserve"> PAGEREF _Toc10342 \h </w:instrText>
          </w:r>
          <w:r>
            <w:fldChar w:fldCharType="separate"/>
          </w:r>
          <w:r>
            <w:t>28</w:t>
          </w:r>
          <w:r>
            <w:fldChar w:fldCharType="end"/>
          </w:r>
          <w:r>
            <w:rPr>
              <w:rFonts w:hint="eastAsia"/>
            </w:rPr>
            <w:fldChar w:fldCharType="end"/>
          </w:r>
        </w:p>
        <w:p>
          <w:pPr>
            <w:pStyle w:val="17"/>
            <w:tabs>
              <w:tab w:val="right" w:leader="dot" w:pos="9746"/>
            </w:tabs>
          </w:pPr>
          <w:r>
            <w:rPr>
              <w:rFonts w:hint="eastAsia"/>
            </w:rPr>
            <w:fldChar w:fldCharType="begin"/>
          </w:r>
          <w:r>
            <w:rPr>
              <w:rFonts w:hint="eastAsia"/>
            </w:rPr>
            <w:instrText xml:space="preserve"> HYPERLINK \l _Toc21102 </w:instrText>
          </w:r>
          <w:r>
            <w:rPr>
              <w:rFonts w:hint="eastAsia"/>
            </w:rPr>
            <w:fldChar w:fldCharType="separate"/>
          </w:r>
          <w:r>
            <w:rPr>
              <w:rFonts w:hint="default" w:ascii="仿宋_GB2312" w:hAnsi="仿宋_GB2312" w:eastAsia="仿宋_GB2312" w:cs="仿宋_GB2312"/>
              <w:szCs w:val="21"/>
              <w:lang w:val="en-US" w:eastAsia="zh-CN"/>
            </w:rPr>
            <w:t xml:space="preserve">3.1. </w:t>
          </w:r>
          <w:r>
            <w:rPr>
              <w:rFonts w:hint="eastAsia"/>
              <w:szCs w:val="21"/>
              <w:lang w:val="en-US" w:eastAsia="zh-CN"/>
            </w:rPr>
            <w:t>目标客户</w:t>
          </w:r>
          <w:r>
            <w:tab/>
          </w:r>
          <w:r>
            <w:fldChar w:fldCharType="begin"/>
          </w:r>
          <w:r>
            <w:instrText xml:space="preserve"> PAGEREF _Toc21102 \h </w:instrText>
          </w:r>
          <w:r>
            <w:fldChar w:fldCharType="separate"/>
          </w:r>
          <w:r>
            <w:t>28</w:t>
          </w:r>
          <w:r>
            <w:fldChar w:fldCharType="end"/>
          </w:r>
          <w:r>
            <w:rPr>
              <w:rFonts w:hint="eastAsia"/>
            </w:rPr>
            <w:fldChar w:fldCharType="end"/>
          </w:r>
        </w:p>
        <w:p>
          <w:pPr>
            <w:pStyle w:val="12"/>
            <w:tabs>
              <w:tab w:val="right" w:leader="dot" w:pos="9746"/>
            </w:tabs>
          </w:pPr>
          <w:r>
            <w:rPr>
              <w:rFonts w:hint="eastAsia"/>
            </w:rPr>
            <w:fldChar w:fldCharType="begin"/>
          </w:r>
          <w:r>
            <w:rPr>
              <w:rFonts w:hint="eastAsia"/>
            </w:rPr>
            <w:instrText xml:space="preserve"> HYPERLINK \l _Toc14177 </w:instrText>
          </w:r>
          <w:r>
            <w:rPr>
              <w:rFonts w:hint="eastAsia"/>
            </w:rPr>
            <w:fldChar w:fldCharType="separate"/>
          </w:r>
          <w:r>
            <w:rPr>
              <w:rFonts w:hint="default" w:ascii="仿宋_GB2312" w:hAnsi="仿宋_GB2312" w:eastAsia="仿宋_GB2312" w:cs="仿宋_GB2312"/>
              <w:szCs w:val="21"/>
            </w:rPr>
            <w:t xml:space="preserve">3.1.1. </w:t>
          </w:r>
          <w:r>
            <w:rPr>
              <w:rFonts w:hint="eastAsia"/>
              <w:szCs w:val="21"/>
              <w:lang w:val="en-US" w:eastAsia="zh-CN"/>
            </w:rPr>
            <w:t>疾控中心与基层卫生机构：流调效率与精准防控的刚需客户</w:t>
          </w:r>
          <w:r>
            <w:tab/>
          </w:r>
          <w:r>
            <w:fldChar w:fldCharType="begin"/>
          </w:r>
          <w:r>
            <w:instrText xml:space="preserve"> PAGEREF _Toc14177 \h </w:instrText>
          </w:r>
          <w:r>
            <w:fldChar w:fldCharType="separate"/>
          </w:r>
          <w:r>
            <w:t>28</w:t>
          </w:r>
          <w:r>
            <w:fldChar w:fldCharType="end"/>
          </w:r>
          <w:r>
            <w:rPr>
              <w:rFonts w:hint="eastAsia"/>
            </w:rPr>
            <w:fldChar w:fldCharType="end"/>
          </w:r>
        </w:p>
        <w:p>
          <w:pPr>
            <w:pStyle w:val="12"/>
            <w:tabs>
              <w:tab w:val="right" w:leader="dot" w:pos="9746"/>
            </w:tabs>
          </w:pPr>
          <w:r>
            <w:rPr>
              <w:rFonts w:hint="eastAsia"/>
            </w:rPr>
            <w:fldChar w:fldCharType="begin"/>
          </w:r>
          <w:r>
            <w:rPr>
              <w:rFonts w:hint="eastAsia"/>
            </w:rPr>
            <w:instrText xml:space="preserve"> HYPERLINK \l _Toc32665 </w:instrText>
          </w:r>
          <w:r>
            <w:rPr>
              <w:rFonts w:hint="eastAsia"/>
            </w:rPr>
            <w:fldChar w:fldCharType="separate"/>
          </w:r>
          <w:r>
            <w:rPr>
              <w:rFonts w:hint="default" w:ascii="仿宋_GB2312" w:hAnsi="仿宋_GB2312" w:eastAsia="仿宋_GB2312" w:cs="仿宋_GB2312"/>
              <w:szCs w:val="21"/>
            </w:rPr>
            <w:t xml:space="preserve">3.1.2. </w:t>
          </w:r>
          <w:r>
            <w:rPr>
              <w:rFonts w:hint="eastAsia"/>
              <w:szCs w:val="21"/>
              <w:lang w:val="en-US" w:eastAsia="zh-CN"/>
            </w:rPr>
            <w:t>二级以上医院与基层医疗机构</w:t>
          </w:r>
          <w:r>
            <w:tab/>
          </w:r>
          <w:r>
            <w:fldChar w:fldCharType="begin"/>
          </w:r>
          <w:r>
            <w:instrText xml:space="preserve"> PAGEREF _Toc32665 \h </w:instrText>
          </w:r>
          <w:r>
            <w:fldChar w:fldCharType="separate"/>
          </w:r>
          <w:r>
            <w:t>28</w:t>
          </w:r>
          <w:r>
            <w:fldChar w:fldCharType="end"/>
          </w:r>
          <w:r>
            <w:rPr>
              <w:rFonts w:hint="eastAsia"/>
            </w:rPr>
            <w:fldChar w:fldCharType="end"/>
          </w:r>
        </w:p>
        <w:p>
          <w:pPr>
            <w:pStyle w:val="12"/>
            <w:tabs>
              <w:tab w:val="right" w:leader="dot" w:pos="9746"/>
            </w:tabs>
          </w:pPr>
          <w:r>
            <w:rPr>
              <w:rFonts w:hint="eastAsia"/>
            </w:rPr>
            <w:fldChar w:fldCharType="begin"/>
          </w:r>
          <w:r>
            <w:rPr>
              <w:rFonts w:hint="eastAsia"/>
            </w:rPr>
            <w:instrText xml:space="preserve"> HYPERLINK \l _Toc8493 </w:instrText>
          </w:r>
          <w:r>
            <w:rPr>
              <w:rFonts w:hint="eastAsia"/>
            </w:rPr>
            <w:fldChar w:fldCharType="separate"/>
          </w:r>
          <w:r>
            <w:rPr>
              <w:rFonts w:hint="default" w:ascii="仿宋_GB2312" w:hAnsi="仿宋_GB2312" w:eastAsia="仿宋_GB2312" w:cs="仿宋_GB2312"/>
              <w:szCs w:val="21"/>
            </w:rPr>
            <w:t xml:space="preserve">3.1.3. </w:t>
          </w:r>
          <w:r>
            <w:rPr>
              <w:rFonts w:hint="eastAsia"/>
              <w:szCs w:val="21"/>
              <w:lang w:val="en-US" w:eastAsia="zh-CN"/>
            </w:rPr>
            <w:t>省市级政府与应急管理部门</w:t>
          </w:r>
          <w:r>
            <w:tab/>
          </w:r>
          <w:r>
            <w:fldChar w:fldCharType="begin"/>
          </w:r>
          <w:r>
            <w:instrText xml:space="preserve"> PAGEREF _Toc8493 \h </w:instrText>
          </w:r>
          <w:r>
            <w:fldChar w:fldCharType="separate"/>
          </w:r>
          <w:r>
            <w:t>28</w:t>
          </w:r>
          <w:r>
            <w:fldChar w:fldCharType="end"/>
          </w:r>
          <w:r>
            <w:rPr>
              <w:rFonts w:hint="eastAsia"/>
            </w:rPr>
            <w:fldChar w:fldCharType="end"/>
          </w:r>
        </w:p>
        <w:p>
          <w:pPr>
            <w:pStyle w:val="12"/>
            <w:tabs>
              <w:tab w:val="right" w:leader="dot" w:pos="9746"/>
            </w:tabs>
          </w:pPr>
          <w:r>
            <w:rPr>
              <w:rFonts w:hint="eastAsia"/>
            </w:rPr>
            <w:fldChar w:fldCharType="begin"/>
          </w:r>
          <w:r>
            <w:rPr>
              <w:rFonts w:hint="eastAsia"/>
            </w:rPr>
            <w:instrText xml:space="preserve"> HYPERLINK \l _Toc28523 </w:instrText>
          </w:r>
          <w:r>
            <w:rPr>
              <w:rFonts w:hint="eastAsia"/>
            </w:rPr>
            <w:fldChar w:fldCharType="separate"/>
          </w:r>
          <w:r>
            <w:rPr>
              <w:rFonts w:hint="default" w:ascii="仿宋_GB2312" w:hAnsi="仿宋_GB2312" w:eastAsia="仿宋_GB2312" w:cs="仿宋_GB2312"/>
              <w:szCs w:val="21"/>
            </w:rPr>
            <w:t xml:space="preserve">3.1.4. </w:t>
          </w:r>
          <w:r>
            <w:rPr>
              <w:rFonts w:hint="eastAsia"/>
              <w:szCs w:val="21"/>
              <w:lang w:val="en-US" w:eastAsia="zh-CN"/>
            </w:rPr>
            <w:t>公众与特殊群体：防疫参与与健康管理的终端客户</w:t>
          </w:r>
          <w:r>
            <w:tab/>
          </w:r>
          <w:r>
            <w:fldChar w:fldCharType="begin"/>
          </w:r>
          <w:r>
            <w:instrText xml:space="preserve"> PAGEREF _Toc28523 \h </w:instrText>
          </w:r>
          <w:r>
            <w:fldChar w:fldCharType="separate"/>
          </w:r>
          <w:r>
            <w:t>29</w:t>
          </w:r>
          <w:r>
            <w:fldChar w:fldCharType="end"/>
          </w:r>
          <w:r>
            <w:rPr>
              <w:rFonts w:hint="eastAsia"/>
            </w:rPr>
            <w:fldChar w:fldCharType="end"/>
          </w:r>
        </w:p>
        <w:p>
          <w:pPr>
            <w:pStyle w:val="12"/>
            <w:tabs>
              <w:tab w:val="right" w:leader="dot" w:pos="9746"/>
            </w:tabs>
          </w:pPr>
          <w:r>
            <w:rPr>
              <w:rFonts w:hint="eastAsia"/>
            </w:rPr>
            <w:fldChar w:fldCharType="begin"/>
          </w:r>
          <w:r>
            <w:rPr>
              <w:rFonts w:hint="eastAsia"/>
            </w:rPr>
            <w:instrText xml:space="preserve"> HYPERLINK \l _Toc18100 </w:instrText>
          </w:r>
          <w:r>
            <w:rPr>
              <w:rFonts w:hint="eastAsia"/>
            </w:rPr>
            <w:fldChar w:fldCharType="separate"/>
          </w:r>
          <w:r>
            <w:rPr>
              <w:rFonts w:hint="default" w:ascii="仿宋_GB2312" w:hAnsi="仿宋_GB2312" w:eastAsia="仿宋_GB2312" w:cs="仿宋_GB2312"/>
              <w:szCs w:val="21"/>
            </w:rPr>
            <w:t xml:space="preserve">3.1.5. </w:t>
          </w:r>
          <w:r>
            <w:rPr>
              <w:rFonts w:hint="eastAsia"/>
              <w:szCs w:val="21"/>
              <w:lang w:val="en-US" w:eastAsia="zh-CN"/>
            </w:rPr>
            <w:t>药企与保险公司：数据驱动与商业延伸的价值客户</w:t>
          </w:r>
          <w:r>
            <w:tab/>
          </w:r>
          <w:r>
            <w:fldChar w:fldCharType="begin"/>
          </w:r>
          <w:r>
            <w:instrText xml:space="preserve"> PAGEREF _Toc18100 \h </w:instrText>
          </w:r>
          <w:r>
            <w:fldChar w:fldCharType="separate"/>
          </w:r>
          <w:r>
            <w:t>29</w:t>
          </w:r>
          <w:r>
            <w:fldChar w:fldCharType="end"/>
          </w:r>
          <w:r>
            <w:rPr>
              <w:rFonts w:hint="eastAsia"/>
            </w:rPr>
            <w:fldChar w:fldCharType="end"/>
          </w:r>
        </w:p>
        <w:p>
          <w:pPr>
            <w:pStyle w:val="12"/>
            <w:tabs>
              <w:tab w:val="right" w:leader="dot" w:pos="9746"/>
            </w:tabs>
          </w:pPr>
          <w:r>
            <w:rPr>
              <w:rFonts w:hint="eastAsia"/>
            </w:rPr>
            <w:fldChar w:fldCharType="begin"/>
          </w:r>
          <w:r>
            <w:rPr>
              <w:rFonts w:hint="eastAsia"/>
            </w:rPr>
            <w:instrText xml:space="preserve"> HYPERLINK \l _Toc10754 </w:instrText>
          </w:r>
          <w:r>
            <w:rPr>
              <w:rFonts w:hint="eastAsia"/>
            </w:rPr>
            <w:fldChar w:fldCharType="separate"/>
          </w:r>
          <w:r>
            <w:rPr>
              <w:rFonts w:hint="default" w:ascii="仿宋_GB2312" w:hAnsi="仿宋_GB2312" w:eastAsia="仿宋_GB2312" w:cs="仿宋_GB2312"/>
              <w:szCs w:val="21"/>
            </w:rPr>
            <w:t xml:space="preserve">3.1.6. </w:t>
          </w:r>
          <w:r>
            <w:rPr>
              <w:rFonts w:hint="eastAsia"/>
              <w:szCs w:val="21"/>
              <w:lang w:val="en-US" w:eastAsia="zh-CN"/>
            </w:rPr>
            <w:t>差异化服务价值</w:t>
          </w:r>
          <w:r>
            <w:tab/>
          </w:r>
          <w:r>
            <w:fldChar w:fldCharType="begin"/>
          </w:r>
          <w:r>
            <w:instrText xml:space="preserve"> PAGEREF _Toc10754 \h </w:instrText>
          </w:r>
          <w:r>
            <w:fldChar w:fldCharType="separate"/>
          </w:r>
          <w:r>
            <w:t>29</w:t>
          </w:r>
          <w:r>
            <w:fldChar w:fldCharType="end"/>
          </w:r>
          <w:r>
            <w:rPr>
              <w:rFonts w:hint="eastAsia"/>
            </w:rPr>
            <w:fldChar w:fldCharType="end"/>
          </w:r>
        </w:p>
        <w:p>
          <w:pPr>
            <w:pStyle w:val="15"/>
            <w:tabs>
              <w:tab w:val="right" w:leader="dot" w:pos="9746"/>
            </w:tabs>
          </w:pPr>
          <w:r>
            <w:rPr>
              <w:rFonts w:hint="eastAsia"/>
            </w:rPr>
            <w:fldChar w:fldCharType="begin"/>
          </w:r>
          <w:r>
            <w:rPr>
              <w:rFonts w:hint="eastAsia"/>
            </w:rPr>
            <w:instrText xml:space="preserve"> HYPERLINK \l _Toc30473 </w:instrText>
          </w:r>
          <w:r>
            <w:rPr>
              <w:rFonts w:hint="eastAsia"/>
            </w:rPr>
            <w:fldChar w:fldCharType="separate"/>
          </w:r>
          <w:r>
            <w:rPr>
              <w:rFonts w:hint="default" w:ascii="仿宋_GB2312" w:hAnsi="仿宋_GB2312" w:eastAsia="仿宋_GB2312" w:cs="仿宋_GB2312"/>
            </w:rPr>
            <w:t xml:space="preserve">4. </w:t>
          </w:r>
          <w:r>
            <w:rPr>
              <w:rFonts w:hint="eastAsia"/>
            </w:rPr>
            <w:t>项目实施</w:t>
          </w:r>
          <w:r>
            <w:tab/>
          </w:r>
          <w:r>
            <w:fldChar w:fldCharType="begin"/>
          </w:r>
          <w:r>
            <w:instrText xml:space="preserve"> PAGEREF _Toc30473 \h </w:instrText>
          </w:r>
          <w:r>
            <w:fldChar w:fldCharType="separate"/>
          </w:r>
          <w:r>
            <w:t>30</w:t>
          </w:r>
          <w:r>
            <w:fldChar w:fldCharType="end"/>
          </w:r>
          <w:r>
            <w:rPr>
              <w:rFonts w:hint="eastAsia"/>
            </w:rPr>
            <w:fldChar w:fldCharType="end"/>
          </w:r>
        </w:p>
        <w:p>
          <w:pPr>
            <w:pStyle w:val="17"/>
            <w:tabs>
              <w:tab w:val="right" w:leader="dot" w:pos="9746"/>
            </w:tabs>
          </w:pPr>
          <w:r>
            <w:rPr>
              <w:rFonts w:hint="eastAsia"/>
            </w:rPr>
            <w:fldChar w:fldCharType="begin"/>
          </w:r>
          <w:r>
            <w:rPr>
              <w:rFonts w:hint="eastAsia"/>
            </w:rPr>
            <w:instrText xml:space="preserve"> HYPERLINK \l _Toc21452 </w:instrText>
          </w:r>
          <w:r>
            <w:rPr>
              <w:rFonts w:hint="eastAsia"/>
            </w:rPr>
            <w:fldChar w:fldCharType="separate"/>
          </w:r>
          <w:r>
            <w:rPr>
              <w:rFonts w:hint="eastAsia" w:ascii="仿宋_GB2312" w:hAnsi="Times New Roman" w:eastAsia="仿宋_GB2312" w:cs="仿宋_GB2312"/>
              <w:bCs w:val="0"/>
              <w:kern w:val="0"/>
              <w:szCs w:val="21"/>
              <w:lang w:val="en-US" w:eastAsia="zh-CN" w:bidi="ar"/>
            </w:rPr>
            <w:t>一、政府端：政策红利与标杆案例双轮驱动</w:t>
          </w:r>
          <w:r>
            <w:tab/>
          </w:r>
          <w:r>
            <w:fldChar w:fldCharType="begin"/>
          </w:r>
          <w:r>
            <w:instrText xml:space="preserve"> PAGEREF _Toc21452 \h </w:instrText>
          </w:r>
          <w:r>
            <w:fldChar w:fldCharType="separate"/>
          </w:r>
          <w:r>
            <w:t>30</w:t>
          </w:r>
          <w:r>
            <w:fldChar w:fldCharType="end"/>
          </w:r>
          <w:r>
            <w:rPr>
              <w:rFonts w:hint="eastAsia"/>
            </w:rPr>
            <w:fldChar w:fldCharType="end"/>
          </w:r>
        </w:p>
        <w:p>
          <w:pPr>
            <w:pStyle w:val="17"/>
            <w:tabs>
              <w:tab w:val="right" w:leader="dot" w:pos="9746"/>
            </w:tabs>
          </w:pPr>
          <w:r>
            <w:rPr>
              <w:rFonts w:hint="eastAsia"/>
            </w:rPr>
            <w:fldChar w:fldCharType="begin"/>
          </w:r>
          <w:r>
            <w:rPr>
              <w:rFonts w:hint="eastAsia"/>
            </w:rPr>
            <w:instrText xml:space="preserve"> HYPERLINK \l _Toc14313 </w:instrText>
          </w:r>
          <w:r>
            <w:rPr>
              <w:rFonts w:hint="eastAsia"/>
            </w:rPr>
            <w:fldChar w:fldCharType="separate"/>
          </w:r>
          <w:r>
            <w:rPr>
              <w:rFonts w:hint="eastAsia" w:ascii="仿宋_GB2312" w:hAnsi="Times New Roman" w:eastAsia="仿宋_GB2312" w:cs="仿宋_GB2312"/>
              <w:bCs w:val="0"/>
              <w:kern w:val="0"/>
              <w:szCs w:val="21"/>
              <w:lang w:val="en-US" w:eastAsia="zh-CN" w:bidi="ar"/>
            </w:rPr>
            <w:t>二、企业端：技术中台与生态协同</w:t>
          </w:r>
          <w:r>
            <w:tab/>
          </w:r>
          <w:r>
            <w:fldChar w:fldCharType="begin"/>
          </w:r>
          <w:r>
            <w:instrText xml:space="preserve"> PAGEREF _Toc14313 \h </w:instrText>
          </w:r>
          <w:r>
            <w:fldChar w:fldCharType="separate"/>
          </w:r>
          <w:r>
            <w:t>30</w:t>
          </w:r>
          <w:r>
            <w:fldChar w:fldCharType="end"/>
          </w:r>
          <w:r>
            <w:rPr>
              <w:rFonts w:hint="eastAsia"/>
            </w:rPr>
            <w:fldChar w:fldCharType="end"/>
          </w:r>
        </w:p>
        <w:p>
          <w:pPr>
            <w:pStyle w:val="17"/>
            <w:tabs>
              <w:tab w:val="right" w:leader="dot" w:pos="9746"/>
            </w:tabs>
          </w:pPr>
          <w:r>
            <w:rPr>
              <w:rFonts w:hint="eastAsia"/>
            </w:rPr>
            <w:fldChar w:fldCharType="begin"/>
          </w:r>
          <w:r>
            <w:rPr>
              <w:rFonts w:hint="eastAsia"/>
            </w:rPr>
            <w:instrText xml:space="preserve"> HYPERLINK \l _Toc2705 </w:instrText>
          </w:r>
          <w:r>
            <w:rPr>
              <w:rFonts w:hint="eastAsia"/>
            </w:rPr>
            <w:fldChar w:fldCharType="separate"/>
          </w:r>
          <w:r>
            <w:rPr>
              <w:rFonts w:hint="eastAsia" w:ascii="仿宋_GB2312" w:hAnsi="Times New Roman" w:eastAsia="仿宋_GB2312" w:cs="仿宋_GB2312"/>
              <w:bCs w:val="0"/>
              <w:kern w:val="0"/>
              <w:szCs w:val="21"/>
              <w:lang w:val="en-US" w:eastAsia="zh-CN" w:bidi="ar"/>
            </w:rPr>
            <w:t>三、公众端：轻量化工具与社交化运营</w:t>
          </w:r>
          <w:r>
            <w:tab/>
          </w:r>
          <w:r>
            <w:fldChar w:fldCharType="begin"/>
          </w:r>
          <w:r>
            <w:instrText xml:space="preserve"> PAGEREF _Toc2705 \h </w:instrText>
          </w:r>
          <w:r>
            <w:fldChar w:fldCharType="separate"/>
          </w:r>
          <w:r>
            <w:t>30</w:t>
          </w:r>
          <w:r>
            <w:fldChar w:fldCharType="end"/>
          </w:r>
          <w:r>
            <w:rPr>
              <w:rFonts w:hint="eastAsia"/>
            </w:rPr>
            <w:fldChar w:fldCharType="end"/>
          </w:r>
        </w:p>
        <w:p>
          <w:pPr>
            <w:pStyle w:val="17"/>
            <w:tabs>
              <w:tab w:val="right" w:leader="dot" w:pos="9746"/>
            </w:tabs>
          </w:pPr>
          <w:r>
            <w:rPr>
              <w:rFonts w:hint="eastAsia"/>
            </w:rPr>
            <w:fldChar w:fldCharType="begin"/>
          </w:r>
          <w:r>
            <w:rPr>
              <w:rFonts w:hint="eastAsia"/>
            </w:rPr>
            <w:instrText xml:space="preserve"> HYPERLINK \l _Toc2831 </w:instrText>
          </w:r>
          <w:r>
            <w:rPr>
              <w:rFonts w:hint="eastAsia"/>
            </w:rPr>
            <w:fldChar w:fldCharType="separate"/>
          </w:r>
          <w:r>
            <w:rPr>
              <w:rFonts w:hint="eastAsia" w:ascii="仿宋_GB2312" w:hAnsi="Times New Roman" w:eastAsia="仿宋_GB2312" w:cs="仿宋_GB2312"/>
              <w:bCs w:val="0"/>
              <w:kern w:val="0"/>
              <w:szCs w:val="21"/>
              <w:lang w:val="en-US" w:eastAsia="zh-CN" w:bidi="ar"/>
            </w:rPr>
            <w:t>四、国际市场：技术输出与品牌赋能</w:t>
          </w:r>
          <w:r>
            <w:tab/>
          </w:r>
          <w:r>
            <w:fldChar w:fldCharType="begin"/>
          </w:r>
          <w:r>
            <w:instrText xml:space="preserve"> PAGEREF _Toc2831 \h </w:instrText>
          </w:r>
          <w:r>
            <w:fldChar w:fldCharType="separate"/>
          </w:r>
          <w:r>
            <w:t>31</w:t>
          </w:r>
          <w:r>
            <w:fldChar w:fldCharType="end"/>
          </w:r>
          <w:r>
            <w:rPr>
              <w:rFonts w:hint="eastAsia"/>
            </w:rPr>
            <w:fldChar w:fldCharType="end"/>
          </w:r>
        </w:p>
        <w:p>
          <w:pPr>
            <w:pStyle w:val="17"/>
            <w:tabs>
              <w:tab w:val="right" w:leader="dot" w:pos="9746"/>
            </w:tabs>
          </w:pPr>
          <w:r>
            <w:rPr>
              <w:rFonts w:hint="eastAsia"/>
            </w:rPr>
            <w:fldChar w:fldCharType="begin"/>
          </w:r>
          <w:r>
            <w:rPr>
              <w:rFonts w:hint="eastAsia"/>
            </w:rPr>
            <w:instrText xml:space="preserve"> HYPERLINK \l _Toc32744 </w:instrText>
          </w:r>
          <w:r>
            <w:rPr>
              <w:rFonts w:hint="eastAsia"/>
            </w:rPr>
            <w:fldChar w:fldCharType="separate"/>
          </w:r>
          <w:r>
            <w:rPr>
              <w:rFonts w:hint="eastAsia" w:ascii="仿宋_GB2312" w:hAnsi="Times New Roman" w:eastAsia="仿宋_GB2312" w:cs="仿宋_GB2312"/>
              <w:bCs w:val="0"/>
              <w:kern w:val="0"/>
              <w:szCs w:val="21"/>
              <w:lang w:val="en-US" w:eastAsia="zh-CN" w:bidi="ar"/>
            </w:rPr>
            <w:t>五、数据驱动的动态优化机制</w:t>
          </w:r>
          <w:r>
            <w:tab/>
          </w:r>
          <w:r>
            <w:fldChar w:fldCharType="begin"/>
          </w:r>
          <w:r>
            <w:instrText xml:space="preserve"> PAGEREF _Toc32744 \h </w:instrText>
          </w:r>
          <w:r>
            <w:fldChar w:fldCharType="separate"/>
          </w:r>
          <w:r>
            <w:t>31</w:t>
          </w:r>
          <w:r>
            <w:fldChar w:fldCharType="end"/>
          </w:r>
          <w:r>
            <w:rPr>
              <w:rFonts w:hint="eastAsia"/>
            </w:rPr>
            <w:fldChar w:fldCharType="end"/>
          </w:r>
        </w:p>
        <w:p>
          <w:pPr>
            <w:pStyle w:val="15"/>
            <w:tabs>
              <w:tab w:val="right" w:leader="dot" w:pos="9746"/>
            </w:tabs>
          </w:pPr>
          <w:r>
            <w:rPr>
              <w:rFonts w:hint="eastAsia"/>
            </w:rPr>
            <w:fldChar w:fldCharType="begin"/>
          </w:r>
          <w:r>
            <w:rPr>
              <w:rFonts w:hint="eastAsia"/>
            </w:rPr>
            <w:instrText xml:space="preserve"> HYPERLINK \l _Toc24402 </w:instrText>
          </w:r>
          <w:r>
            <w:rPr>
              <w:rFonts w:hint="eastAsia"/>
            </w:rPr>
            <w:fldChar w:fldCharType="separate"/>
          </w:r>
          <w:r>
            <w:rPr>
              <w:rFonts w:hint="default" w:ascii="Times New Roman" w:hAnsi="Times New Roman" w:eastAsia="仿宋_GB2312" w:cs="Times New Roman"/>
              <w:bCs w:val="0"/>
              <w:szCs w:val="21"/>
            </w:rPr>
            <w:t xml:space="preserve">4、 </w:t>
          </w:r>
          <w:r>
            <w:rPr>
              <w:rFonts w:hint="eastAsia" w:ascii="仿宋_GB2312" w:hAnsi="Times New Roman" w:eastAsia="仿宋_GB2312" w:cs="仿宋_GB2312"/>
              <w:bCs w:val="0"/>
              <w:kern w:val="0"/>
              <w:szCs w:val="21"/>
              <w:lang w:val="en-US" w:eastAsia="zh-CN" w:bidi="ar"/>
            </w:rPr>
            <w:t>运营计划</w:t>
          </w:r>
          <w:r>
            <w:tab/>
          </w:r>
          <w:r>
            <w:fldChar w:fldCharType="begin"/>
          </w:r>
          <w:r>
            <w:instrText xml:space="preserve"> PAGEREF _Toc24402 \h </w:instrText>
          </w:r>
          <w:r>
            <w:fldChar w:fldCharType="separate"/>
          </w:r>
          <w:r>
            <w:t>31</w:t>
          </w:r>
          <w:r>
            <w:fldChar w:fldCharType="end"/>
          </w:r>
          <w:r>
            <w:rPr>
              <w:rFonts w:hint="eastAsia"/>
            </w:rPr>
            <w:fldChar w:fldCharType="end"/>
          </w:r>
        </w:p>
        <w:p>
          <w:pPr>
            <w:pStyle w:val="15"/>
            <w:tabs>
              <w:tab w:val="right" w:leader="dot" w:pos="9746"/>
            </w:tabs>
          </w:pPr>
          <w:r>
            <w:rPr>
              <w:rFonts w:hint="eastAsia"/>
            </w:rPr>
            <w:fldChar w:fldCharType="begin"/>
          </w:r>
          <w:r>
            <w:rPr>
              <w:rFonts w:hint="eastAsia"/>
            </w:rPr>
            <w:instrText xml:space="preserve"> HYPERLINK \l _Toc25698 </w:instrText>
          </w:r>
          <w:r>
            <w:rPr>
              <w:rFonts w:hint="eastAsia"/>
            </w:rPr>
            <w:fldChar w:fldCharType="separate"/>
          </w:r>
          <w:r>
            <w:rPr>
              <w:rFonts w:hint="eastAsia" w:ascii="仿宋_GB2312" w:hAnsi="Times New Roman" w:eastAsia="仿宋_GB2312" w:cs="仿宋_GB2312"/>
              <w:kern w:val="0"/>
              <w:szCs w:val="21"/>
              <w:lang w:val="en-US" w:eastAsia="zh-CN" w:bidi="ar"/>
            </w:rPr>
            <w:t>2、关键节点</w:t>
          </w:r>
          <w:r>
            <w:tab/>
          </w:r>
          <w:r>
            <w:fldChar w:fldCharType="begin"/>
          </w:r>
          <w:r>
            <w:instrText xml:space="preserve"> PAGEREF _Toc25698 \h </w:instrText>
          </w:r>
          <w:r>
            <w:fldChar w:fldCharType="separate"/>
          </w:r>
          <w:r>
            <w:t>31</w:t>
          </w:r>
          <w:r>
            <w:fldChar w:fldCharType="end"/>
          </w:r>
          <w:r>
            <w:rPr>
              <w:rFonts w:hint="eastAsia"/>
            </w:rPr>
            <w:fldChar w:fldCharType="end"/>
          </w:r>
        </w:p>
        <w:p>
          <w:pPr>
            <w:pStyle w:val="17"/>
            <w:tabs>
              <w:tab w:val="right" w:leader="dot" w:pos="9746"/>
            </w:tabs>
          </w:pPr>
          <w:r>
            <w:rPr>
              <w:rFonts w:hint="eastAsia"/>
            </w:rPr>
            <w:fldChar w:fldCharType="begin"/>
          </w:r>
          <w:r>
            <w:rPr>
              <w:rFonts w:hint="eastAsia"/>
            </w:rPr>
            <w:instrText xml:space="preserve"> HYPERLINK \l _Toc5044 </w:instrText>
          </w:r>
          <w:r>
            <w:rPr>
              <w:rFonts w:hint="eastAsia"/>
            </w:rPr>
            <w:fldChar w:fldCharType="separate"/>
          </w:r>
          <w:r>
            <w:rPr>
              <w:rFonts w:hint="eastAsia" w:ascii="仿宋_GB2312" w:hAnsi="Times New Roman" w:eastAsia="仿宋_GB2312" w:cs="仿宋_GB2312"/>
              <w:bCs w:val="0"/>
              <w:kern w:val="0"/>
              <w:szCs w:val="21"/>
              <w:lang w:val="en-US" w:eastAsia="zh-CN" w:bidi="ar"/>
            </w:rPr>
            <w:t>一、研发期（2024Q3-2025Q2）：技术攻坚与原型验证</w:t>
          </w:r>
          <w:r>
            <w:tab/>
          </w:r>
          <w:r>
            <w:fldChar w:fldCharType="begin"/>
          </w:r>
          <w:r>
            <w:instrText xml:space="preserve"> PAGEREF _Toc5044 \h </w:instrText>
          </w:r>
          <w:r>
            <w:fldChar w:fldCharType="separate"/>
          </w:r>
          <w:r>
            <w:t>31</w:t>
          </w:r>
          <w:r>
            <w:fldChar w:fldCharType="end"/>
          </w:r>
          <w:r>
            <w:rPr>
              <w:rFonts w:hint="eastAsia"/>
            </w:rPr>
            <w:fldChar w:fldCharType="end"/>
          </w:r>
        </w:p>
        <w:p>
          <w:pPr>
            <w:pStyle w:val="17"/>
            <w:tabs>
              <w:tab w:val="right" w:leader="dot" w:pos="9746"/>
            </w:tabs>
          </w:pPr>
          <w:r>
            <w:rPr>
              <w:rFonts w:hint="eastAsia"/>
            </w:rPr>
            <w:fldChar w:fldCharType="begin"/>
          </w:r>
          <w:r>
            <w:rPr>
              <w:rFonts w:hint="eastAsia"/>
            </w:rPr>
            <w:instrText xml:space="preserve"> HYPERLINK \l _Toc4329 </w:instrText>
          </w:r>
          <w:r>
            <w:rPr>
              <w:rFonts w:hint="eastAsia"/>
            </w:rPr>
            <w:fldChar w:fldCharType="separate"/>
          </w:r>
          <w:r>
            <w:rPr>
              <w:rFonts w:hint="eastAsia" w:ascii="仿宋_GB2312" w:hAnsi="Times New Roman" w:eastAsia="仿宋_GB2312" w:cs="仿宋_GB2312"/>
              <w:bCs w:val="0"/>
              <w:kern w:val="0"/>
              <w:szCs w:val="21"/>
              <w:lang w:val="en-US" w:eastAsia="zh-CN" w:bidi="ar"/>
            </w:rPr>
            <w:t>二、试点期（2025Q3-2026Q1）：场景验证与模式跑通</w:t>
          </w:r>
          <w:r>
            <w:tab/>
          </w:r>
          <w:r>
            <w:fldChar w:fldCharType="begin"/>
          </w:r>
          <w:r>
            <w:instrText xml:space="preserve"> PAGEREF _Toc4329 \h </w:instrText>
          </w:r>
          <w:r>
            <w:fldChar w:fldCharType="separate"/>
          </w:r>
          <w:r>
            <w:t>32</w:t>
          </w:r>
          <w:r>
            <w:fldChar w:fldCharType="end"/>
          </w:r>
          <w:r>
            <w:rPr>
              <w:rFonts w:hint="eastAsia"/>
            </w:rPr>
            <w:fldChar w:fldCharType="end"/>
          </w:r>
        </w:p>
        <w:p>
          <w:pPr>
            <w:pStyle w:val="17"/>
            <w:tabs>
              <w:tab w:val="right" w:leader="dot" w:pos="9746"/>
            </w:tabs>
          </w:pPr>
          <w:r>
            <w:rPr>
              <w:rFonts w:hint="eastAsia"/>
            </w:rPr>
            <w:fldChar w:fldCharType="begin"/>
          </w:r>
          <w:r>
            <w:rPr>
              <w:rFonts w:hint="eastAsia"/>
            </w:rPr>
            <w:instrText xml:space="preserve"> HYPERLINK \l _Toc25533 </w:instrText>
          </w:r>
          <w:r>
            <w:rPr>
              <w:rFonts w:hint="eastAsia"/>
            </w:rPr>
            <w:fldChar w:fldCharType="separate"/>
          </w:r>
          <w:r>
            <w:rPr>
              <w:rFonts w:hint="eastAsia" w:ascii="仿宋_GB2312" w:hAnsi="Times New Roman" w:eastAsia="仿宋_GB2312" w:cs="仿宋_GB2312"/>
              <w:bCs w:val="0"/>
              <w:kern w:val="0"/>
              <w:szCs w:val="21"/>
              <w:lang w:val="en-US" w:eastAsia="zh-CN" w:bidi="ar"/>
            </w:rPr>
            <w:t>三、扩张期（2026Q2-2027Q4）：生态共建与全球化布局</w:t>
          </w:r>
          <w:r>
            <w:tab/>
          </w:r>
          <w:r>
            <w:fldChar w:fldCharType="begin"/>
          </w:r>
          <w:r>
            <w:instrText xml:space="preserve"> PAGEREF _Toc25533 \h </w:instrText>
          </w:r>
          <w:r>
            <w:fldChar w:fldCharType="separate"/>
          </w:r>
          <w:r>
            <w:t>32</w:t>
          </w:r>
          <w:r>
            <w:fldChar w:fldCharType="end"/>
          </w:r>
          <w:r>
            <w:rPr>
              <w:rFonts w:hint="eastAsia"/>
            </w:rPr>
            <w:fldChar w:fldCharType="end"/>
          </w:r>
        </w:p>
        <w:p>
          <w:pPr>
            <w:pStyle w:val="17"/>
            <w:tabs>
              <w:tab w:val="right" w:leader="dot" w:pos="9746"/>
            </w:tabs>
          </w:pPr>
          <w:r>
            <w:rPr>
              <w:rFonts w:hint="eastAsia"/>
            </w:rPr>
            <w:fldChar w:fldCharType="begin"/>
          </w:r>
          <w:r>
            <w:rPr>
              <w:rFonts w:hint="eastAsia"/>
            </w:rPr>
            <w:instrText xml:space="preserve"> HYPERLINK \l _Toc2077 </w:instrText>
          </w:r>
          <w:r>
            <w:rPr>
              <w:rFonts w:hint="eastAsia"/>
            </w:rPr>
            <w:fldChar w:fldCharType="separate"/>
          </w:r>
          <w:r>
            <w:rPr>
              <w:rFonts w:hint="eastAsia" w:ascii="仿宋_GB2312" w:hAnsi="Times New Roman" w:eastAsia="仿宋_GB2312" w:cs="仿宋_GB2312"/>
              <w:bCs w:val="0"/>
              <w:kern w:val="0"/>
              <w:szCs w:val="21"/>
              <w:lang w:val="en-US" w:eastAsia="zh-CN" w:bidi="ar"/>
            </w:rPr>
            <w:t>四、风险管理与动态优化</w:t>
          </w:r>
          <w:r>
            <w:tab/>
          </w:r>
          <w:r>
            <w:fldChar w:fldCharType="begin"/>
          </w:r>
          <w:r>
            <w:instrText xml:space="preserve"> PAGEREF _Toc2077 \h </w:instrText>
          </w:r>
          <w:r>
            <w:fldChar w:fldCharType="separate"/>
          </w:r>
          <w:r>
            <w:t>33</w:t>
          </w:r>
          <w:r>
            <w:fldChar w:fldCharType="end"/>
          </w:r>
          <w:r>
            <w:rPr>
              <w:rFonts w:hint="eastAsia"/>
            </w:rPr>
            <w:fldChar w:fldCharType="end"/>
          </w:r>
        </w:p>
        <w:p>
          <w:pPr>
            <w:pStyle w:val="17"/>
            <w:tabs>
              <w:tab w:val="right" w:leader="dot" w:pos="9746"/>
            </w:tabs>
          </w:pPr>
          <w:r>
            <w:rPr>
              <w:rFonts w:hint="eastAsia"/>
            </w:rPr>
            <w:fldChar w:fldCharType="begin"/>
          </w:r>
          <w:r>
            <w:rPr>
              <w:rFonts w:hint="eastAsia"/>
            </w:rPr>
            <w:instrText xml:space="preserve"> HYPERLINK \l _Toc4056 </w:instrText>
          </w:r>
          <w:r>
            <w:rPr>
              <w:rFonts w:hint="eastAsia"/>
            </w:rPr>
            <w:fldChar w:fldCharType="separate"/>
          </w:r>
          <w:r>
            <w:rPr>
              <w:rFonts w:hint="eastAsia" w:ascii="仿宋_GB2312" w:hAnsi="Times New Roman" w:eastAsia="仿宋_GB2312" w:cs="仿宋_GB2312"/>
              <w:bCs w:val="0"/>
              <w:kern w:val="0"/>
              <w:szCs w:val="21"/>
              <w:lang w:val="en-US" w:eastAsia="zh-CN" w:bidi="ar"/>
            </w:rPr>
            <w:t>五、总结与展望</w:t>
          </w:r>
          <w:r>
            <w:tab/>
          </w:r>
          <w:r>
            <w:fldChar w:fldCharType="begin"/>
          </w:r>
          <w:r>
            <w:instrText xml:space="preserve"> PAGEREF _Toc4056 \h </w:instrText>
          </w:r>
          <w:r>
            <w:fldChar w:fldCharType="separate"/>
          </w:r>
          <w:r>
            <w:t>33</w:t>
          </w:r>
          <w:r>
            <w:fldChar w:fldCharType="end"/>
          </w:r>
          <w:r>
            <w:rPr>
              <w:rFonts w:hint="eastAsia"/>
            </w:rPr>
            <w:fldChar w:fldCharType="end"/>
          </w:r>
        </w:p>
        <w:p>
          <w:pPr>
            <w:pStyle w:val="15"/>
            <w:tabs>
              <w:tab w:val="right" w:leader="dot" w:pos="9746"/>
            </w:tabs>
          </w:pPr>
          <w:r>
            <w:rPr>
              <w:rFonts w:hint="eastAsia"/>
            </w:rPr>
            <w:fldChar w:fldCharType="begin"/>
          </w:r>
          <w:r>
            <w:rPr>
              <w:rFonts w:hint="eastAsia"/>
            </w:rPr>
            <w:instrText xml:space="preserve"> HYPERLINK \l _Toc30660 </w:instrText>
          </w:r>
          <w:r>
            <w:rPr>
              <w:rFonts w:hint="eastAsia"/>
            </w:rPr>
            <w:fldChar w:fldCharType="separate"/>
          </w:r>
          <w:r>
            <w:rPr>
              <w:rFonts w:hint="eastAsia" w:ascii="仿宋_GB2312" w:hAnsi="Times New Roman" w:eastAsia="仿宋_GB2312" w:cs="仿宋_GB2312"/>
              <w:kern w:val="0"/>
              <w:szCs w:val="21"/>
              <w:lang w:val="en-US" w:eastAsia="zh-CN" w:bidi="ar"/>
            </w:rPr>
            <w:t>4.收入来源</w:t>
          </w:r>
          <w:r>
            <w:tab/>
          </w:r>
          <w:r>
            <w:fldChar w:fldCharType="begin"/>
          </w:r>
          <w:r>
            <w:instrText xml:space="preserve"> PAGEREF _Toc30660 \h </w:instrText>
          </w:r>
          <w:r>
            <w:fldChar w:fldCharType="separate"/>
          </w:r>
          <w:r>
            <w:t>33</w:t>
          </w:r>
          <w:r>
            <w:fldChar w:fldCharType="end"/>
          </w:r>
          <w:r>
            <w:rPr>
              <w:rFonts w:hint="eastAsia"/>
            </w:rPr>
            <w:fldChar w:fldCharType="end"/>
          </w:r>
        </w:p>
        <w:p>
          <w:pPr>
            <w:pStyle w:val="17"/>
            <w:tabs>
              <w:tab w:val="right" w:leader="dot" w:pos="9746"/>
            </w:tabs>
          </w:pPr>
          <w:r>
            <w:rPr>
              <w:rFonts w:hint="eastAsia"/>
            </w:rPr>
            <w:fldChar w:fldCharType="begin"/>
          </w:r>
          <w:r>
            <w:rPr>
              <w:rFonts w:hint="eastAsia"/>
            </w:rPr>
            <w:instrText xml:space="preserve"> HYPERLINK \l _Toc27032 </w:instrText>
          </w:r>
          <w:r>
            <w:rPr>
              <w:rFonts w:hint="eastAsia"/>
            </w:rPr>
            <w:fldChar w:fldCharType="separate"/>
          </w:r>
          <w:r>
            <w:rPr>
              <w:rFonts w:hint="eastAsia" w:ascii="仿宋_GB2312" w:hAnsi="Times New Roman" w:eastAsia="仿宋_GB2312" w:cs="仿宋_GB2312"/>
              <w:bCs w:val="0"/>
              <w:kern w:val="0"/>
              <w:szCs w:val="21"/>
              <w:lang w:val="en-US" w:eastAsia="zh-CN" w:bidi="ar"/>
            </w:rPr>
            <w:t>1. 政府合作项目与政策补贴</w:t>
          </w:r>
          <w:r>
            <w:tab/>
          </w:r>
          <w:r>
            <w:fldChar w:fldCharType="begin"/>
          </w:r>
          <w:r>
            <w:instrText xml:space="preserve"> PAGEREF _Toc27032 \h </w:instrText>
          </w:r>
          <w:r>
            <w:fldChar w:fldCharType="separate"/>
          </w:r>
          <w:r>
            <w:t>33</w:t>
          </w:r>
          <w:r>
            <w:fldChar w:fldCharType="end"/>
          </w:r>
          <w:r>
            <w:rPr>
              <w:rFonts w:hint="eastAsia"/>
            </w:rPr>
            <w:fldChar w:fldCharType="end"/>
          </w:r>
        </w:p>
        <w:p>
          <w:pPr>
            <w:pStyle w:val="17"/>
            <w:tabs>
              <w:tab w:val="right" w:leader="dot" w:pos="9746"/>
            </w:tabs>
          </w:pPr>
          <w:r>
            <w:rPr>
              <w:rFonts w:hint="eastAsia"/>
            </w:rPr>
            <w:fldChar w:fldCharType="begin"/>
          </w:r>
          <w:r>
            <w:rPr>
              <w:rFonts w:hint="eastAsia"/>
            </w:rPr>
            <w:instrText xml:space="preserve"> HYPERLINK \l _Toc25219 </w:instrText>
          </w:r>
          <w:r>
            <w:rPr>
              <w:rFonts w:hint="eastAsia"/>
            </w:rPr>
            <w:fldChar w:fldCharType="separate"/>
          </w:r>
          <w:r>
            <w:rPr>
              <w:rFonts w:hint="eastAsia" w:ascii="仿宋_GB2312" w:hAnsi="Times New Roman" w:eastAsia="仿宋_GB2312" w:cs="仿宋_GB2312"/>
              <w:bCs w:val="0"/>
              <w:kern w:val="0"/>
              <w:szCs w:val="21"/>
              <w:lang w:val="en-US" w:eastAsia="zh-CN" w:bidi="ar"/>
            </w:rPr>
            <w:t>2. 数据资产化与合规变现</w:t>
          </w:r>
          <w:r>
            <w:tab/>
          </w:r>
          <w:r>
            <w:fldChar w:fldCharType="begin"/>
          </w:r>
          <w:r>
            <w:instrText xml:space="preserve"> PAGEREF _Toc25219 \h </w:instrText>
          </w:r>
          <w:r>
            <w:fldChar w:fldCharType="separate"/>
          </w:r>
          <w:r>
            <w:t>34</w:t>
          </w:r>
          <w:r>
            <w:fldChar w:fldCharType="end"/>
          </w:r>
          <w:r>
            <w:rPr>
              <w:rFonts w:hint="eastAsia"/>
            </w:rPr>
            <w:fldChar w:fldCharType="end"/>
          </w:r>
        </w:p>
        <w:p>
          <w:pPr>
            <w:pStyle w:val="17"/>
            <w:tabs>
              <w:tab w:val="right" w:leader="dot" w:pos="9746"/>
            </w:tabs>
          </w:pPr>
          <w:r>
            <w:rPr>
              <w:rFonts w:hint="eastAsia"/>
            </w:rPr>
            <w:fldChar w:fldCharType="begin"/>
          </w:r>
          <w:r>
            <w:rPr>
              <w:rFonts w:hint="eastAsia"/>
            </w:rPr>
            <w:instrText xml:space="preserve"> HYPERLINK \l _Toc27395 </w:instrText>
          </w:r>
          <w:r>
            <w:rPr>
              <w:rFonts w:hint="eastAsia"/>
            </w:rPr>
            <w:fldChar w:fldCharType="separate"/>
          </w:r>
          <w:r>
            <w:rPr>
              <w:rFonts w:hint="eastAsia" w:ascii="仿宋_GB2312" w:hAnsi="Times New Roman" w:eastAsia="仿宋_GB2312" w:cs="仿宋_GB2312"/>
              <w:bCs w:val="0"/>
              <w:kern w:val="0"/>
              <w:szCs w:val="21"/>
              <w:lang w:val="en-US" w:eastAsia="zh-CN" w:bidi="ar"/>
            </w:rPr>
            <w:t>3. 场景化模块订阅与定制开发</w:t>
          </w:r>
          <w:r>
            <w:tab/>
          </w:r>
          <w:r>
            <w:fldChar w:fldCharType="begin"/>
          </w:r>
          <w:r>
            <w:instrText xml:space="preserve"> PAGEREF _Toc27395 \h </w:instrText>
          </w:r>
          <w:r>
            <w:fldChar w:fldCharType="separate"/>
          </w:r>
          <w:r>
            <w:t>34</w:t>
          </w:r>
          <w:r>
            <w:fldChar w:fldCharType="end"/>
          </w:r>
          <w:r>
            <w:rPr>
              <w:rFonts w:hint="eastAsia"/>
            </w:rPr>
            <w:fldChar w:fldCharType="end"/>
          </w:r>
        </w:p>
        <w:p>
          <w:pPr>
            <w:pStyle w:val="17"/>
            <w:tabs>
              <w:tab w:val="right" w:leader="dot" w:pos="9746"/>
            </w:tabs>
          </w:pPr>
          <w:r>
            <w:rPr>
              <w:rFonts w:hint="eastAsia"/>
            </w:rPr>
            <w:fldChar w:fldCharType="begin"/>
          </w:r>
          <w:r>
            <w:rPr>
              <w:rFonts w:hint="eastAsia"/>
            </w:rPr>
            <w:instrText xml:space="preserve"> HYPERLINK \l _Toc7279 </w:instrText>
          </w:r>
          <w:r>
            <w:rPr>
              <w:rFonts w:hint="eastAsia"/>
            </w:rPr>
            <w:fldChar w:fldCharType="separate"/>
          </w:r>
          <w:r>
            <w:rPr>
              <w:rFonts w:hint="eastAsia" w:ascii="仿宋_GB2312" w:hAnsi="Times New Roman" w:eastAsia="仿宋_GB2312" w:cs="仿宋_GB2312"/>
              <w:bCs w:val="0"/>
              <w:kern w:val="0"/>
              <w:szCs w:val="21"/>
              <w:lang w:val="en-US" w:eastAsia="zh-CN" w:bidi="ar"/>
            </w:rPr>
            <w:t>4. 技术授权与生态协同</w:t>
          </w:r>
          <w:r>
            <w:tab/>
          </w:r>
          <w:r>
            <w:fldChar w:fldCharType="begin"/>
          </w:r>
          <w:r>
            <w:instrText xml:space="preserve"> PAGEREF _Toc7279 \h </w:instrText>
          </w:r>
          <w:r>
            <w:fldChar w:fldCharType="separate"/>
          </w:r>
          <w:r>
            <w:t>34</w:t>
          </w:r>
          <w:r>
            <w:fldChar w:fldCharType="end"/>
          </w:r>
          <w:r>
            <w:rPr>
              <w:rFonts w:hint="eastAsia"/>
            </w:rPr>
            <w:fldChar w:fldCharType="end"/>
          </w:r>
        </w:p>
        <w:p>
          <w:pPr>
            <w:pStyle w:val="17"/>
            <w:tabs>
              <w:tab w:val="right" w:leader="dot" w:pos="9746"/>
            </w:tabs>
          </w:pPr>
          <w:r>
            <w:rPr>
              <w:rFonts w:hint="eastAsia"/>
            </w:rPr>
            <w:fldChar w:fldCharType="begin"/>
          </w:r>
          <w:r>
            <w:rPr>
              <w:rFonts w:hint="eastAsia"/>
            </w:rPr>
            <w:instrText xml:space="preserve"> HYPERLINK \l _Toc31064 </w:instrText>
          </w:r>
          <w:r>
            <w:rPr>
              <w:rFonts w:hint="eastAsia"/>
            </w:rPr>
            <w:fldChar w:fldCharType="separate"/>
          </w:r>
          <w:r>
            <w:rPr>
              <w:rFonts w:hint="eastAsia" w:ascii="仿宋_GB2312" w:hAnsi="Times New Roman" w:eastAsia="仿宋_GB2312" w:cs="仿宋_GB2312"/>
              <w:bCs w:val="0"/>
              <w:kern w:val="0"/>
              <w:szCs w:val="21"/>
              <w:lang w:val="en-US" w:eastAsia="zh-CN" w:bidi="ar"/>
            </w:rPr>
            <w:t>5. C端健康服务增值</w:t>
          </w:r>
          <w:r>
            <w:tab/>
          </w:r>
          <w:r>
            <w:fldChar w:fldCharType="begin"/>
          </w:r>
          <w:r>
            <w:instrText xml:space="preserve"> PAGEREF _Toc31064 \h </w:instrText>
          </w:r>
          <w:r>
            <w:fldChar w:fldCharType="separate"/>
          </w:r>
          <w:r>
            <w:t>34</w:t>
          </w:r>
          <w:r>
            <w:fldChar w:fldCharType="end"/>
          </w:r>
          <w:r>
            <w:rPr>
              <w:rFonts w:hint="eastAsia"/>
            </w:rPr>
            <w:fldChar w:fldCharType="end"/>
          </w:r>
        </w:p>
        <w:p>
          <w:pPr>
            <w:pStyle w:val="17"/>
            <w:tabs>
              <w:tab w:val="right" w:leader="dot" w:pos="9746"/>
            </w:tabs>
          </w:pPr>
          <w:r>
            <w:rPr>
              <w:rFonts w:hint="eastAsia"/>
            </w:rPr>
            <w:fldChar w:fldCharType="begin"/>
          </w:r>
          <w:r>
            <w:rPr>
              <w:rFonts w:hint="eastAsia"/>
            </w:rPr>
            <w:instrText xml:space="preserve"> HYPERLINK \l _Toc22854 </w:instrText>
          </w:r>
          <w:r>
            <w:rPr>
              <w:rFonts w:hint="eastAsia"/>
            </w:rPr>
            <w:fldChar w:fldCharType="separate"/>
          </w:r>
          <w:r>
            <w:rPr>
              <w:rFonts w:hint="eastAsia" w:ascii="仿宋_GB2312" w:hAnsi="Times New Roman" w:eastAsia="仿宋_GB2312" w:cs="仿宋_GB2312"/>
              <w:kern w:val="0"/>
              <w:szCs w:val="21"/>
              <w:lang w:val="en-US" w:eastAsia="zh-CN" w:bidi="ar"/>
            </w:rPr>
            <w:t>3.商业模式：公益与商业化双轨并行</w:t>
          </w:r>
          <w:r>
            <w:tab/>
          </w:r>
          <w:r>
            <w:fldChar w:fldCharType="begin"/>
          </w:r>
          <w:r>
            <w:instrText xml:space="preserve"> PAGEREF _Toc22854 \h </w:instrText>
          </w:r>
          <w:r>
            <w:fldChar w:fldCharType="separate"/>
          </w:r>
          <w:r>
            <w:t>35</w:t>
          </w:r>
          <w:r>
            <w:fldChar w:fldCharType="end"/>
          </w:r>
          <w:r>
            <w:rPr>
              <w:rFonts w:hint="eastAsia"/>
            </w:rPr>
            <w:fldChar w:fldCharType="end"/>
          </w:r>
        </w:p>
        <w:p>
          <w:pPr>
            <w:pStyle w:val="12"/>
            <w:tabs>
              <w:tab w:val="right" w:leader="dot" w:pos="9746"/>
            </w:tabs>
          </w:pPr>
          <w:r>
            <w:rPr>
              <w:rFonts w:hint="eastAsia"/>
            </w:rPr>
            <w:fldChar w:fldCharType="begin"/>
          </w:r>
          <w:r>
            <w:rPr>
              <w:rFonts w:hint="eastAsia"/>
            </w:rPr>
            <w:instrText xml:space="preserve"> HYPERLINK \l _Toc14062 </w:instrText>
          </w:r>
          <w:r>
            <w:rPr>
              <w:rFonts w:hint="eastAsia"/>
            </w:rPr>
            <w:fldChar w:fldCharType="separate"/>
          </w:r>
          <w:r>
            <w:rPr>
              <w:rFonts w:hint="eastAsia" w:ascii="仿宋_GB2312" w:hAnsi="Times New Roman" w:eastAsia="仿宋_GB2312" w:cs="仿宋_GB2312"/>
              <w:bCs w:val="0"/>
              <w:kern w:val="0"/>
              <w:szCs w:val="21"/>
              <w:lang w:val="en-US" w:eastAsia="zh-CN" w:bidi="ar"/>
            </w:rPr>
            <w:t>一、公益普惠，赋能商业化扩展</w:t>
          </w:r>
          <w:r>
            <w:tab/>
          </w:r>
          <w:r>
            <w:fldChar w:fldCharType="begin"/>
          </w:r>
          <w:r>
            <w:instrText xml:space="preserve"> PAGEREF _Toc14062 \h </w:instrText>
          </w:r>
          <w:r>
            <w:fldChar w:fldCharType="separate"/>
          </w:r>
          <w:r>
            <w:t>35</w:t>
          </w:r>
          <w:r>
            <w:fldChar w:fldCharType="end"/>
          </w:r>
          <w:r>
            <w:rPr>
              <w:rFonts w:hint="eastAsia"/>
            </w:rPr>
            <w:fldChar w:fldCharType="end"/>
          </w:r>
        </w:p>
        <w:p>
          <w:pPr>
            <w:pStyle w:val="12"/>
            <w:tabs>
              <w:tab w:val="right" w:leader="dot" w:pos="9746"/>
            </w:tabs>
          </w:pPr>
          <w:r>
            <w:rPr>
              <w:rFonts w:hint="eastAsia"/>
            </w:rPr>
            <w:fldChar w:fldCharType="begin"/>
          </w:r>
          <w:r>
            <w:rPr>
              <w:rFonts w:hint="eastAsia"/>
            </w:rPr>
            <w:instrText xml:space="preserve"> HYPERLINK \l _Toc16718 </w:instrText>
          </w:r>
          <w:r>
            <w:rPr>
              <w:rFonts w:hint="eastAsia"/>
            </w:rPr>
            <w:fldChar w:fldCharType="separate"/>
          </w:r>
          <w:r>
            <w:rPr>
              <w:rFonts w:hint="eastAsia" w:ascii="仿宋_GB2312" w:hAnsi="Times New Roman" w:eastAsia="仿宋_GB2312" w:cs="仿宋_GB2312"/>
              <w:bCs w:val="0"/>
              <w:kern w:val="0"/>
              <w:szCs w:val="21"/>
              <w:lang w:val="en-US" w:eastAsia="zh-CN" w:bidi="ar"/>
            </w:rPr>
            <w:t>二、盈利模式：技术赋能与场景延展</w:t>
          </w:r>
          <w:r>
            <w:tab/>
          </w:r>
          <w:r>
            <w:fldChar w:fldCharType="begin"/>
          </w:r>
          <w:r>
            <w:instrText xml:space="preserve"> PAGEREF _Toc16718 \h </w:instrText>
          </w:r>
          <w:r>
            <w:fldChar w:fldCharType="separate"/>
          </w:r>
          <w:r>
            <w:t>35</w:t>
          </w:r>
          <w:r>
            <w:fldChar w:fldCharType="end"/>
          </w:r>
          <w:r>
            <w:rPr>
              <w:rFonts w:hint="eastAsia"/>
            </w:rPr>
            <w:fldChar w:fldCharType="end"/>
          </w:r>
        </w:p>
        <w:p>
          <w:pPr>
            <w:pStyle w:val="12"/>
            <w:tabs>
              <w:tab w:val="right" w:leader="dot" w:pos="9746"/>
            </w:tabs>
          </w:pPr>
          <w:r>
            <w:rPr>
              <w:rFonts w:hint="eastAsia"/>
            </w:rPr>
            <w:fldChar w:fldCharType="begin"/>
          </w:r>
          <w:r>
            <w:rPr>
              <w:rFonts w:hint="eastAsia"/>
            </w:rPr>
            <w:instrText xml:space="preserve"> HYPERLINK \l _Toc9499 </w:instrText>
          </w:r>
          <w:r>
            <w:rPr>
              <w:rFonts w:hint="eastAsia"/>
            </w:rPr>
            <w:fldChar w:fldCharType="separate"/>
          </w:r>
          <w:r>
            <w:rPr>
              <w:rFonts w:hint="eastAsia" w:ascii="仿宋_GB2312" w:hAnsi="Times New Roman" w:eastAsia="仿宋_GB2312" w:cs="仿宋_GB2312"/>
              <w:bCs w:val="0"/>
              <w:kern w:val="0"/>
              <w:szCs w:val="21"/>
              <w:lang w:val="en-US" w:eastAsia="zh-CN" w:bidi="ar"/>
            </w:rPr>
            <w:t>三、成本控制与收益放大</w:t>
          </w:r>
          <w:r>
            <w:tab/>
          </w:r>
          <w:r>
            <w:fldChar w:fldCharType="begin"/>
          </w:r>
          <w:r>
            <w:instrText xml:space="preserve"> PAGEREF _Toc9499 \h </w:instrText>
          </w:r>
          <w:r>
            <w:fldChar w:fldCharType="separate"/>
          </w:r>
          <w:r>
            <w:t>37</w:t>
          </w:r>
          <w:r>
            <w:fldChar w:fldCharType="end"/>
          </w:r>
          <w:r>
            <w:rPr>
              <w:rFonts w:hint="eastAsia"/>
            </w:rPr>
            <w:fldChar w:fldCharType="end"/>
          </w:r>
        </w:p>
        <w:p>
          <w:pPr>
            <w:pStyle w:val="12"/>
            <w:tabs>
              <w:tab w:val="right" w:leader="dot" w:pos="9746"/>
            </w:tabs>
          </w:pPr>
          <w:r>
            <w:rPr>
              <w:rFonts w:hint="eastAsia"/>
            </w:rPr>
            <w:fldChar w:fldCharType="begin"/>
          </w:r>
          <w:r>
            <w:rPr>
              <w:rFonts w:hint="eastAsia"/>
            </w:rPr>
            <w:instrText xml:space="preserve"> HYPERLINK \l _Toc27166 </w:instrText>
          </w:r>
          <w:r>
            <w:rPr>
              <w:rFonts w:hint="eastAsia"/>
            </w:rPr>
            <w:fldChar w:fldCharType="separate"/>
          </w:r>
          <w:r>
            <w:rPr>
              <w:rFonts w:hint="eastAsia" w:ascii="仿宋_GB2312" w:hAnsi="Times New Roman" w:eastAsia="仿宋_GB2312" w:cs="仿宋_GB2312"/>
              <w:bCs w:val="0"/>
              <w:kern w:val="0"/>
              <w:szCs w:val="21"/>
              <w:lang w:val="en-US" w:eastAsia="zh-CN" w:bidi="ar"/>
            </w:rPr>
            <w:t>四、收入结构优化与财务健康度</w:t>
          </w:r>
          <w:r>
            <w:tab/>
          </w:r>
          <w:r>
            <w:fldChar w:fldCharType="begin"/>
          </w:r>
          <w:r>
            <w:instrText xml:space="preserve"> PAGEREF _Toc27166 \h </w:instrText>
          </w:r>
          <w:r>
            <w:fldChar w:fldCharType="separate"/>
          </w:r>
          <w:r>
            <w:t>37</w:t>
          </w:r>
          <w:r>
            <w:fldChar w:fldCharType="end"/>
          </w:r>
          <w:r>
            <w:rPr>
              <w:rFonts w:hint="eastAsia"/>
            </w:rPr>
            <w:fldChar w:fldCharType="end"/>
          </w:r>
        </w:p>
        <w:p>
          <w:pPr>
            <w:pStyle w:val="15"/>
            <w:tabs>
              <w:tab w:val="right" w:leader="dot" w:pos="9746"/>
            </w:tabs>
          </w:pPr>
          <w:r>
            <w:rPr>
              <w:rFonts w:hint="eastAsia"/>
            </w:rPr>
            <w:fldChar w:fldCharType="begin"/>
          </w:r>
          <w:r>
            <w:rPr>
              <w:rFonts w:hint="eastAsia"/>
            </w:rPr>
            <w:instrText xml:space="preserve"> HYPERLINK \l _Toc7749 </w:instrText>
          </w:r>
          <w:r>
            <w:rPr>
              <w:rFonts w:hint="eastAsia"/>
            </w:rPr>
            <w:fldChar w:fldCharType="separate"/>
          </w:r>
          <w:r>
            <w:rPr>
              <w:rFonts w:hint="default" w:ascii="仿宋_GB2312" w:hAnsi="仿宋_GB2312" w:eastAsia="仿宋_GB2312" w:cs="仿宋_GB2312"/>
            </w:rPr>
            <w:t xml:space="preserve">5. </w:t>
          </w:r>
          <w:r>
            <w:rPr>
              <w:rFonts w:hint="eastAsia"/>
              <w:lang w:val="en-US" w:eastAsia="zh-CN"/>
            </w:rPr>
            <w:t>盈利预测与市场潜力</w:t>
          </w:r>
          <w:r>
            <w:tab/>
          </w:r>
          <w:r>
            <w:fldChar w:fldCharType="begin"/>
          </w:r>
          <w:r>
            <w:instrText xml:space="preserve"> PAGEREF _Toc7749 \h </w:instrText>
          </w:r>
          <w:r>
            <w:fldChar w:fldCharType="separate"/>
          </w:r>
          <w:r>
            <w:t>38</w:t>
          </w:r>
          <w:r>
            <w:fldChar w:fldCharType="end"/>
          </w:r>
          <w:r>
            <w:rPr>
              <w:rFonts w:hint="eastAsia"/>
            </w:rPr>
            <w:fldChar w:fldCharType="end"/>
          </w:r>
        </w:p>
        <w:p>
          <w:pPr>
            <w:pStyle w:val="17"/>
            <w:tabs>
              <w:tab w:val="right" w:leader="dot" w:pos="9746"/>
            </w:tabs>
          </w:pPr>
          <w:r>
            <w:rPr>
              <w:rFonts w:hint="eastAsia"/>
            </w:rPr>
            <w:fldChar w:fldCharType="begin"/>
          </w:r>
          <w:r>
            <w:rPr>
              <w:rFonts w:hint="eastAsia"/>
            </w:rPr>
            <w:instrText xml:space="preserve"> HYPERLINK \l _Toc15086 </w:instrText>
          </w:r>
          <w:r>
            <w:rPr>
              <w:rFonts w:hint="eastAsia"/>
            </w:rPr>
            <w:fldChar w:fldCharType="separate"/>
          </w:r>
          <w:r>
            <w:rPr>
              <w:rFonts w:hint="default" w:ascii="仿宋_GB2312" w:hAnsi="仿宋_GB2312" w:eastAsia="仿宋_GB2312" w:cs="仿宋_GB2312"/>
              <w:szCs w:val="21"/>
            </w:rPr>
            <w:t xml:space="preserve">5.1. </w:t>
          </w:r>
          <w:r>
            <w:rPr>
              <w:rFonts w:hint="eastAsia"/>
              <w:szCs w:val="21"/>
              <w:lang w:val="en-US" w:eastAsia="zh-CN"/>
            </w:rPr>
            <w:t>市场空间与增长逻辑</w:t>
          </w:r>
          <w:r>
            <w:tab/>
          </w:r>
          <w:r>
            <w:fldChar w:fldCharType="begin"/>
          </w:r>
          <w:r>
            <w:instrText xml:space="preserve"> PAGEREF _Toc15086 \h </w:instrText>
          </w:r>
          <w:r>
            <w:fldChar w:fldCharType="separate"/>
          </w:r>
          <w:r>
            <w:t>38</w:t>
          </w:r>
          <w:r>
            <w:fldChar w:fldCharType="end"/>
          </w:r>
          <w:r>
            <w:rPr>
              <w:rFonts w:hint="eastAsia"/>
            </w:rPr>
            <w:fldChar w:fldCharType="end"/>
          </w:r>
        </w:p>
        <w:p>
          <w:pPr>
            <w:pStyle w:val="17"/>
            <w:tabs>
              <w:tab w:val="right" w:leader="dot" w:pos="9746"/>
            </w:tabs>
          </w:pPr>
          <w:r>
            <w:rPr>
              <w:rFonts w:hint="eastAsia"/>
            </w:rPr>
            <w:fldChar w:fldCharType="begin"/>
          </w:r>
          <w:r>
            <w:rPr>
              <w:rFonts w:hint="eastAsia"/>
            </w:rPr>
            <w:instrText xml:space="preserve"> HYPERLINK \l _Toc12683 </w:instrText>
          </w:r>
          <w:r>
            <w:rPr>
              <w:rFonts w:hint="eastAsia"/>
            </w:rPr>
            <w:fldChar w:fldCharType="separate"/>
          </w:r>
          <w:r>
            <w:rPr>
              <w:rFonts w:hint="default" w:ascii="仿宋_GB2312" w:hAnsi="仿宋_GB2312" w:eastAsia="仿宋_GB2312" w:cs="仿宋_GB2312"/>
              <w:szCs w:val="21"/>
            </w:rPr>
            <w:t xml:space="preserve">5.2. </w:t>
          </w:r>
          <w:r>
            <w:rPr>
              <w:rFonts w:hint="eastAsia"/>
              <w:szCs w:val="21"/>
              <w:lang w:val="en-US" w:eastAsia="zh-CN"/>
            </w:rPr>
            <w:t>盈利模型与估值预期</w:t>
          </w:r>
          <w:r>
            <w:tab/>
          </w:r>
          <w:r>
            <w:fldChar w:fldCharType="begin"/>
          </w:r>
          <w:r>
            <w:instrText xml:space="preserve"> PAGEREF _Toc12683 \h </w:instrText>
          </w:r>
          <w:r>
            <w:fldChar w:fldCharType="separate"/>
          </w:r>
          <w:r>
            <w:t>38</w:t>
          </w:r>
          <w:r>
            <w:fldChar w:fldCharType="end"/>
          </w:r>
          <w:r>
            <w:rPr>
              <w:rFonts w:hint="eastAsia"/>
            </w:rPr>
            <w:fldChar w:fldCharType="end"/>
          </w:r>
        </w:p>
        <w:p>
          <w:pPr>
            <w:pStyle w:val="15"/>
            <w:tabs>
              <w:tab w:val="right" w:leader="dot" w:pos="9746"/>
            </w:tabs>
          </w:pPr>
          <w:r>
            <w:rPr>
              <w:rFonts w:hint="eastAsia"/>
            </w:rPr>
            <w:fldChar w:fldCharType="begin"/>
          </w:r>
          <w:r>
            <w:rPr>
              <w:rFonts w:hint="eastAsia"/>
            </w:rPr>
            <w:instrText xml:space="preserve"> HYPERLINK \l _Toc16409 </w:instrText>
          </w:r>
          <w:r>
            <w:rPr>
              <w:rFonts w:hint="eastAsia"/>
            </w:rPr>
            <w:fldChar w:fldCharType="separate"/>
          </w:r>
          <w:r>
            <w:rPr>
              <w:rFonts w:hint="default" w:ascii="仿宋_GB2312" w:hAnsi="仿宋_GB2312" w:eastAsia="仿宋_GB2312" w:cs="仿宋_GB2312"/>
            </w:rPr>
            <w:t xml:space="preserve">6. </w:t>
          </w:r>
          <w:r>
            <w:rPr>
              <w:rFonts w:hint="eastAsia"/>
              <w:lang w:val="en-US" w:eastAsia="zh-CN"/>
            </w:rPr>
            <w:t>风险控制</w:t>
          </w:r>
          <w:r>
            <w:tab/>
          </w:r>
          <w:r>
            <w:fldChar w:fldCharType="begin"/>
          </w:r>
          <w:r>
            <w:instrText xml:space="preserve"> PAGEREF _Toc16409 \h </w:instrText>
          </w:r>
          <w:r>
            <w:fldChar w:fldCharType="separate"/>
          </w:r>
          <w:r>
            <w:t>38</w:t>
          </w:r>
          <w:r>
            <w:fldChar w:fldCharType="end"/>
          </w:r>
          <w:r>
            <w:rPr>
              <w:rFonts w:hint="eastAsia"/>
            </w:rPr>
            <w:fldChar w:fldCharType="end"/>
          </w:r>
        </w:p>
        <w:p>
          <w:pPr>
            <w:pStyle w:val="17"/>
            <w:tabs>
              <w:tab w:val="right" w:leader="dot" w:pos="9746"/>
            </w:tabs>
          </w:pPr>
          <w:r>
            <w:rPr>
              <w:rFonts w:hint="eastAsia"/>
            </w:rPr>
            <w:fldChar w:fldCharType="begin"/>
          </w:r>
          <w:r>
            <w:rPr>
              <w:rFonts w:hint="eastAsia"/>
            </w:rPr>
            <w:instrText xml:space="preserve"> HYPERLINK \l _Toc29867 </w:instrText>
          </w:r>
          <w:r>
            <w:rPr>
              <w:rFonts w:hint="eastAsia"/>
            </w:rPr>
            <w:fldChar w:fldCharType="separate"/>
          </w:r>
          <w:r>
            <w:rPr>
              <w:rFonts w:hint="default" w:ascii="仿宋_GB2312" w:hAnsi="仿宋_GB2312" w:eastAsia="仿宋_GB2312" w:cs="仿宋_GB2312"/>
              <w:szCs w:val="21"/>
            </w:rPr>
            <w:t xml:space="preserve">6.1. </w:t>
          </w:r>
          <w:r>
            <w:rPr>
              <w:rFonts w:hint="eastAsia"/>
              <w:szCs w:val="21"/>
              <w:lang w:val="en-US" w:eastAsia="zh-CN"/>
            </w:rPr>
            <w:t>核心风险</w:t>
          </w:r>
          <w:r>
            <w:tab/>
          </w:r>
          <w:r>
            <w:fldChar w:fldCharType="begin"/>
          </w:r>
          <w:r>
            <w:instrText xml:space="preserve"> PAGEREF _Toc29867 \h </w:instrText>
          </w:r>
          <w:r>
            <w:fldChar w:fldCharType="separate"/>
          </w:r>
          <w:r>
            <w:t>38</w:t>
          </w:r>
          <w:r>
            <w:fldChar w:fldCharType="end"/>
          </w:r>
          <w:r>
            <w:rPr>
              <w:rFonts w:hint="eastAsia"/>
            </w:rPr>
            <w:fldChar w:fldCharType="end"/>
          </w:r>
        </w:p>
        <w:p>
          <w:pPr>
            <w:pStyle w:val="12"/>
            <w:tabs>
              <w:tab w:val="right" w:leader="dot" w:pos="9746"/>
            </w:tabs>
          </w:pPr>
          <w:r>
            <w:rPr>
              <w:rFonts w:hint="eastAsia"/>
            </w:rPr>
            <w:fldChar w:fldCharType="begin"/>
          </w:r>
          <w:r>
            <w:rPr>
              <w:rFonts w:hint="eastAsia"/>
            </w:rPr>
            <w:instrText xml:space="preserve"> HYPERLINK \l _Toc20469 </w:instrText>
          </w:r>
          <w:r>
            <w:rPr>
              <w:rFonts w:hint="eastAsia"/>
            </w:rPr>
            <w:fldChar w:fldCharType="separate"/>
          </w:r>
          <w:r>
            <w:rPr>
              <w:rFonts w:hint="default" w:ascii="仿宋_GB2312" w:hAnsi="仿宋_GB2312" w:eastAsia="仿宋_GB2312" w:cs="仿宋_GB2312"/>
              <w:szCs w:val="21"/>
            </w:rPr>
            <w:t xml:space="preserve">6.1.1. </w:t>
          </w:r>
          <w:r>
            <w:rPr>
              <w:rFonts w:hint="eastAsia" w:ascii="仿宋_GB2312" w:hAnsi="Times New Roman" w:eastAsia="仿宋_GB2312" w:cs="仿宋_GB2312"/>
              <w:bCs w:val="0"/>
              <w:kern w:val="0"/>
              <w:szCs w:val="21"/>
              <w:lang w:val="en-US" w:eastAsia="zh-CN" w:bidi="ar"/>
            </w:rPr>
            <w:t>技术风险</w:t>
          </w:r>
          <w:r>
            <w:tab/>
          </w:r>
          <w:r>
            <w:fldChar w:fldCharType="begin"/>
          </w:r>
          <w:r>
            <w:instrText xml:space="preserve"> PAGEREF _Toc20469 \h </w:instrText>
          </w:r>
          <w:r>
            <w:fldChar w:fldCharType="separate"/>
          </w:r>
          <w:r>
            <w:t>38</w:t>
          </w:r>
          <w:r>
            <w:fldChar w:fldCharType="end"/>
          </w:r>
          <w:r>
            <w:rPr>
              <w:rFonts w:hint="eastAsia"/>
            </w:rPr>
            <w:fldChar w:fldCharType="end"/>
          </w:r>
        </w:p>
        <w:p>
          <w:pPr>
            <w:pStyle w:val="12"/>
            <w:tabs>
              <w:tab w:val="right" w:leader="dot" w:pos="9746"/>
            </w:tabs>
          </w:pPr>
          <w:r>
            <w:rPr>
              <w:rFonts w:hint="eastAsia"/>
            </w:rPr>
            <w:fldChar w:fldCharType="begin"/>
          </w:r>
          <w:r>
            <w:rPr>
              <w:rFonts w:hint="eastAsia"/>
            </w:rPr>
            <w:instrText xml:space="preserve"> HYPERLINK \l _Toc17926 </w:instrText>
          </w:r>
          <w:r>
            <w:rPr>
              <w:rFonts w:hint="eastAsia"/>
            </w:rPr>
            <w:fldChar w:fldCharType="separate"/>
          </w:r>
          <w:r>
            <w:rPr>
              <w:rFonts w:hint="default" w:ascii="仿宋_GB2312" w:hAnsi="仿宋_GB2312" w:eastAsia="仿宋_GB2312" w:cs="仿宋_GB2312"/>
              <w:szCs w:val="21"/>
            </w:rPr>
            <w:t xml:space="preserve">6.1.2. </w:t>
          </w:r>
          <w:r>
            <w:rPr>
              <w:rFonts w:hint="eastAsia" w:ascii="仿宋_GB2312" w:hAnsi="Times New Roman" w:eastAsia="仿宋_GB2312" w:cs="仿宋_GB2312"/>
              <w:bCs w:val="0"/>
              <w:kern w:val="0"/>
              <w:szCs w:val="21"/>
              <w:lang w:val="en-US" w:eastAsia="zh-CN" w:bidi="ar"/>
            </w:rPr>
            <w:t>市场风险</w:t>
          </w:r>
          <w:r>
            <w:tab/>
          </w:r>
          <w:r>
            <w:fldChar w:fldCharType="begin"/>
          </w:r>
          <w:r>
            <w:instrText xml:space="preserve"> PAGEREF _Toc17926 \h </w:instrText>
          </w:r>
          <w:r>
            <w:fldChar w:fldCharType="separate"/>
          </w:r>
          <w:r>
            <w:t>39</w:t>
          </w:r>
          <w:r>
            <w:fldChar w:fldCharType="end"/>
          </w:r>
          <w:r>
            <w:rPr>
              <w:rFonts w:hint="eastAsia"/>
            </w:rPr>
            <w:fldChar w:fldCharType="end"/>
          </w:r>
        </w:p>
        <w:p>
          <w:pPr>
            <w:pStyle w:val="12"/>
            <w:tabs>
              <w:tab w:val="right" w:leader="dot" w:pos="9746"/>
            </w:tabs>
          </w:pPr>
          <w:r>
            <w:rPr>
              <w:rFonts w:hint="eastAsia"/>
            </w:rPr>
            <w:fldChar w:fldCharType="begin"/>
          </w:r>
          <w:r>
            <w:rPr>
              <w:rFonts w:hint="eastAsia"/>
            </w:rPr>
            <w:instrText xml:space="preserve"> HYPERLINK \l _Toc13107 </w:instrText>
          </w:r>
          <w:r>
            <w:rPr>
              <w:rFonts w:hint="eastAsia"/>
            </w:rPr>
            <w:fldChar w:fldCharType="separate"/>
          </w:r>
          <w:r>
            <w:rPr>
              <w:rFonts w:hint="default" w:ascii="仿宋_GB2312" w:hAnsi="仿宋_GB2312" w:eastAsia="仿宋_GB2312" w:cs="仿宋_GB2312"/>
              <w:szCs w:val="21"/>
            </w:rPr>
            <w:t xml:space="preserve">6.1.3. </w:t>
          </w:r>
          <w:r>
            <w:rPr>
              <w:rFonts w:hint="eastAsia" w:ascii="仿宋_GB2312" w:hAnsi="Times New Roman" w:eastAsia="仿宋_GB2312" w:cs="仿宋_GB2312"/>
              <w:bCs w:val="0"/>
              <w:kern w:val="0"/>
              <w:szCs w:val="21"/>
              <w:lang w:val="en-US" w:eastAsia="zh-CN" w:bidi="ar"/>
            </w:rPr>
            <w:t>合规与政策风险</w:t>
          </w:r>
          <w:r>
            <w:tab/>
          </w:r>
          <w:r>
            <w:fldChar w:fldCharType="begin"/>
          </w:r>
          <w:r>
            <w:instrText xml:space="preserve"> PAGEREF _Toc13107 \h </w:instrText>
          </w:r>
          <w:r>
            <w:fldChar w:fldCharType="separate"/>
          </w:r>
          <w:r>
            <w:t>39</w:t>
          </w:r>
          <w:r>
            <w:fldChar w:fldCharType="end"/>
          </w:r>
          <w:r>
            <w:rPr>
              <w:rFonts w:hint="eastAsia"/>
            </w:rPr>
            <w:fldChar w:fldCharType="end"/>
          </w:r>
        </w:p>
        <w:p>
          <w:pPr>
            <w:pStyle w:val="17"/>
            <w:tabs>
              <w:tab w:val="right" w:leader="dot" w:pos="9746"/>
            </w:tabs>
          </w:pPr>
          <w:r>
            <w:rPr>
              <w:rFonts w:hint="eastAsia"/>
            </w:rPr>
            <w:fldChar w:fldCharType="begin"/>
          </w:r>
          <w:r>
            <w:rPr>
              <w:rFonts w:hint="eastAsia"/>
            </w:rPr>
            <w:instrText xml:space="preserve"> HYPERLINK \l _Toc2047 </w:instrText>
          </w:r>
          <w:r>
            <w:rPr>
              <w:rFonts w:hint="eastAsia"/>
            </w:rPr>
            <w:fldChar w:fldCharType="separate"/>
          </w:r>
          <w:r>
            <w:rPr>
              <w:rFonts w:hint="default" w:ascii="仿宋_GB2312" w:hAnsi="仿宋_GB2312" w:eastAsia="仿宋_GB2312" w:cs="仿宋_GB2312"/>
              <w:szCs w:val="21"/>
            </w:rPr>
            <w:t xml:space="preserve">6.2. </w:t>
          </w:r>
          <w:r>
            <w:rPr>
              <w:rFonts w:hint="eastAsia"/>
              <w:szCs w:val="21"/>
              <w:lang w:val="en-US" w:eastAsia="zh-CN"/>
            </w:rPr>
            <w:t>风险化解手段</w:t>
          </w:r>
          <w:r>
            <w:tab/>
          </w:r>
          <w:r>
            <w:fldChar w:fldCharType="begin"/>
          </w:r>
          <w:r>
            <w:instrText xml:space="preserve"> PAGEREF _Toc2047 \h </w:instrText>
          </w:r>
          <w:r>
            <w:fldChar w:fldCharType="separate"/>
          </w:r>
          <w:r>
            <w:t>39</w:t>
          </w:r>
          <w:r>
            <w:fldChar w:fldCharType="end"/>
          </w:r>
          <w:r>
            <w:rPr>
              <w:rFonts w:hint="eastAsia"/>
            </w:rPr>
            <w:fldChar w:fldCharType="end"/>
          </w:r>
        </w:p>
        <w:p>
          <w:pPr>
            <w:pStyle w:val="12"/>
            <w:tabs>
              <w:tab w:val="right" w:leader="dot" w:pos="9746"/>
            </w:tabs>
          </w:pPr>
          <w:r>
            <w:rPr>
              <w:rFonts w:hint="eastAsia"/>
            </w:rPr>
            <w:fldChar w:fldCharType="begin"/>
          </w:r>
          <w:r>
            <w:rPr>
              <w:rFonts w:hint="eastAsia"/>
            </w:rPr>
            <w:instrText xml:space="preserve"> HYPERLINK \l _Toc21849 </w:instrText>
          </w:r>
          <w:r>
            <w:rPr>
              <w:rFonts w:hint="eastAsia"/>
            </w:rPr>
            <w:fldChar w:fldCharType="separate"/>
          </w:r>
          <w:r>
            <w:rPr>
              <w:rFonts w:hint="default" w:ascii="仿宋_GB2312" w:hAnsi="仿宋_GB2312" w:eastAsia="仿宋_GB2312" w:cs="仿宋_GB2312"/>
              <w:szCs w:val="21"/>
            </w:rPr>
            <w:t xml:space="preserve">6.2.1. </w:t>
          </w:r>
          <w:r>
            <w:rPr>
              <w:rFonts w:hint="eastAsia"/>
              <w:szCs w:val="21"/>
              <w:lang w:val="en-US" w:eastAsia="zh-CN"/>
            </w:rPr>
            <w:t>技术风险应对：性能优化与安全加固</w:t>
          </w:r>
          <w:r>
            <w:tab/>
          </w:r>
          <w:r>
            <w:fldChar w:fldCharType="begin"/>
          </w:r>
          <w:r>
            <w:instrText xml:space="preserve"> PAGEREF _Toc21849 \h </w:instrText>
          </w:r>
          <w:r>
            <w:fldChar w:fldCharType="separate"/>
          </w:r>
          <w:r>
            <w:t>39</w:t>
          </w:r>
          <w:r>
            <w:fldChar w:fldCharType="end"/>
          </w:r>
          <w:r>
            <w:rPr>
              <w:rFonts w:hint="eastAsia"/>
            </w:rPr>
            <w:fldChar w:fldCharType="end"/>
          </w:r>
        </w:p>
        <w:p>
          <w:pPr>
            <w:pStyle w:val="12"/>
            <w:tabs>
              <w:tab w:val="right" w:leader="dot" w:pos="9746"/>
            </w:tabs>
          </w:pPr>
          <w:r>
            <w:rPr>
              <w:rFonts w:hint="eastAsia"/>
            </w:rPr>
            <w:fldChar w:fldCharType="begin"/>
          </w:r>
          <w:r>
            <w:rPr>
              <w:rFonts w:hint="eastAsia"/>
            </w:rPr>
            <w:instrText xml:space="preserve"> HYPERLINK \l _Toc26621 </w:instrText>
          </w:r>
          <w:r>
            <w:rPr>
              <w:rFonts w:hint="eastAsia"/>
            </w:rPr>
            <w:fldChar w:fldCharType="separate"/>
          </w:r>
          <w:r>
            <w:rPr>
              <w:rFonts w:hint="default" w:ascii="仿宋_GB2312" w:hAnsi="仿宋_GB2312" w:eastAsia="仿宋_GB2312" w:cs="仿宋_GB2312"/>
              <w:szCs w:val="21"/>
            </w:rPr>
            <w:t xml:space="preserve">6.2.2. </w:t>
          </w:r>
          <w:r>
            <w:rPr>
              <w:rFonts w:hint="eastAsia"/>
              <w:szCs w:val="21"/>
              <w:lang w:val="en-US" w:eastAsia="zh-CN"/>
            </w:rPr>
            <w:t>市场风险应对：分层定价与生态协同</w:t>
          </w:r>
          <w:r>
            <w:tab/>
          </w:r>
          <w:r>
            <w:fldChar w:fldCharType="begin"/>
          </w:r>
          <w:r>
            <w:instrText xml:space="preserve"> PAGEREF _Toc26621 \h </w:instrText>
          </w:r>
          <w:r>
            <w:fldChar w:fldCharType="separate"/>
          </w:r>
          <w:r>
            <w:t>39</w:t>
          </w:r>
          <w:r>
            <w:fldChar w:fldCharType="end"/>
          </w:r>
          <w:r>
            <w:rPr>
              <w:rFonts w:hint="eastAsia"/>
            </w:rPr>
            <w:fldChar w:fldCharType="end"/>
          </w:r>
        </w:p>
        <w:p>
          <w:pPr>
            <w:pStyle w:val="12"/>
            <w:tabs>
              <w:tab w:val="right" w:leader="dot" w:pos="9746"/>
            </w:tabs>
          </w:pPr>
          <w:r>
            <w:rPr>
              <w:rFonts w:hint="eastAsia"/>
            </w:rPr>
            <w:fldChar w:fldCharType="begin"/>
          </w:r>
          <w:r>
            <w:rPr>
              <w:rFonts w:hint="eastAsia"/>
            </w:rPr>
            <w:instrText xml:space="preserve"> HYPERLINK \l _Toc26150 </w:instrText>
          </w:r>
          <w:r>
            <w:rPr>
              <w:rFonts w:hint="eastAsia"/>
            </w:rPr>
            <w:fldChar w:fldCharType="separate"/>
          </w:r>
          <w:r>
            <w:rPr>
              <w:rFonts w:hint="default" w:ascii="仿宋_GB2312" w:hAnsi="仿宋_GB2312" w:eastAsia="仿宋_GB2312" w:cs="仿宋_GB2312"/>
              <w:szCs w:val="21"/>
            </w:rPr>
            <w:t xml:space="preserve">6.2.3. </w:t>
          </w:r>
          <w:r>
            <w:rPr>
              <w:rFonts w:hint="eastAsia"/>
              <w:szCs w:val="21"/>
              <w:lang w:val="en-US" w:eastAsia="zh-CN"/>
            </w:rPr>
            <w:t>合规与政策风险应对：制度保障与伦理兜底</w:t>
          </w:r>
          <w:r>
            <w:tab/>
          </w:r>
          <w:r>
            <w:fldChar w:fldCharType="begin"/>
          </w:r>
          <w:r>
            <w:instrText xml:space="preserve"> PAGEREF _Toc26150 \h </w:instrText>
          </w:r>
          <w:r>
            <w:fldChar w:fldCharType="separate"/>
          </w:r>
          <w:r>
            <w:t>39</w:t>
          </w:r>
          <w:r>
            <w:fldChar w:fldCharType="end"/>
          </w:r>
          <w:r>
            <w:rPr>
              <w:rFonts w:hint="eastAsia"/>
            </w:rPr>
            <w:fldChar w:fldCharType="end"/>
          </w:r>
        </w:p>
        <w:p>
          <w:pPr>
            <w:pStyle w:val="12"/>
            <w:tabs>
              <w:tab w:val="right" w:leader="dot" w:pos="9746"/>
            </w:tabs>
          </w:pPr>
          <w:r>
            <w:rPr>
              <w:rFonts w:hint="eastAsia"/>
            </w:rPr>
            <w:fldChar w:fldCharType="begin"/>
          </w:r>
          <w:r>
            <w:rPr>
              <w:rFonts w:hint="eastAsia"/>
            </w:rPr>
            <w:instrText xml:space="preserve"> HYPERLINK \l _Toc5853 </w:instrText>
          </w:r>
          <w:r>
            <w:rPr>
              <w:rFonts w:hint="eastAsia"/>
            </w:rPr>
            <w:fldChar w:fldCharType="separate"/>
          </w:r>
          <w:r>
            <w:rPr>
              <w:rFonts w:hint="default" w:ascii="仿宋_GB2312" w:hAnsi="仿宋_GB2312" w:eastAsia="仿宋_GB2312" w:cs="仿宋_GB2312"/>
              <w:szCs w:val="21"/>
            </w:rPr>
            <w:t xml:space="preserve">6.2.4. </w:t>
          </w:r>
          <w:r>
            <w:rPr>
              <w:rFonts w:hint="eastAsia"/>
              <w:szCs w:val="21"/>
              <w:lang w:val="en-US" w:eastAsia="zh-CN"/>
            </w:rPr>
            <w:t>成效量化与动态追踪</w:t>
          </w:r>
          <w:r>
            <w:tab/>
          </w:r>
          <w:r>
            <w:fldChar w:fldCharType="begin"/>
          </w:r>
          <w:r>
            <w:instrText xml:space="preserve"> PAGEREF _Toc5853 \h </w:instrText>
          </w:r>
          <w:r>
            <w:fldChar w:fldCharType="separate"/>
          </w:r>
          <w:r>
            <w:t>40</w:t>
          </w:r>
          <w:r>
            <w:fldChar w:fldCharType="end"/>
          </w:r>
          <w:r>
            <w:rPr>
              <w:rFonts w:hint="eastAsia"/>
            </w:rPr>
            <w:fldChar w:fldCharType="end"/>
          </w:r>
        </w:p>
        <w:p>
          <w:pPr>
            <w:pStyle w:val="19"/>
            <w:bidi w:val="0"/>
            <w:ind w:left="0" w:leftChars="0" w:firstLine="0" w:firstLineChars="0"/>
            <w:jc w:val="both"/>
            <w:rPr>
              <w:rFonts w:hint="eastAsia" w:ascii="Arial" w:hAnsi="Arial" w:eastAsia="仿宋_GB2312" w:cstheme="minorBidi"/>
              <w:b/>
              <w:snapToGrid/>
              <w:kern w:val="2"/>
              <w:sz w:val="48"/>
              <w:szCs w:val="40"/>
              <w:lang w:val="en-US" w:eastAsia="zh-CN" w:bidi="ar-SA"/>
            </w:rPr>
            <w:sectPr>
              <w:headerReference r:id="rId5" w:type="default"/>
              <w:pgSz w:w="11906" w:h="16838"/>
              <w:pgMar w:top="1440" w:right="1080" w:bottom="1440" w:left="1080" w:header="567" w:footer="992" w:gutter="0"/>
              <w:cols w:space="425" w:num="1"/>
              <w:docGrid w:type="lines" w:linePitch="312" w:charSpace="0"/>
            </w:sectPr>
          </w:pPr>
          <w:r>
            <w:rPr>
              <w:rFonts w:hint="eastAsia"/>
            </w:rPr>
            <w:fldChar w:fldCharType="end"/>
          </w:r>
        </w:p>
      </w:sdtContent>
    </w:sdt>
    <w:bookmarkEnd w:id="0"/>
    <w:p>
      <w:pPr>
        <w:pStyle w:val="2"/>
        <w:bidi w:val="0"/>
        <w:rPr>
          <w:rFonts w:hint="eastAsia"/>
        </w:rPr>
      </w:pPr>
      <w:bookmarkStart w:id="1" w:name="_Toc10883"/>
      <w:r>
        <w:rPr>
          <w:rFonts w:hint="eastAsia"/>
        </w:rPr>
        <w:t>目标市场分析</w:t>
      </w:r>
      <w:bookmarkEnd w:id="1"/>
    </w:p>
    <w:p>
      <w:pPr>
        <w:pStyle w:val="3"/>
        <w:bidi w:val="0"/>
        <w:rPr>
          <w:rFonts w:hint="eastAsia"/>
          <w:sz w:val="21"/>
          <w:szCs w:val="21"/>
          <w:lang w:val="en-US" w:eastAsia="zh-CN"/>
        </w:rPr>
      </w:pPr>
      <w:bookmarkStart w:id="2" w:name="_Toc10133"/>
      <w:r>
        <w:rPr>
          <w:rFonts w:hint="eastAsia"/>
          <w:sz w:val="21"/>
          <w:szCs w:val="21"/>
          <w:lang w:val="en-US" w:eastAsia="zh-CN"/>
        </w:rPr>
        <w:t>市场问题现状：</w:t>
      </w:r>
      <w:bookmarkStart w:id="3" w:name="heading_2"/>
      <w:r>
        <w:rPr>
          <w:rFonts w:hint="eastAsia"/>
          <w:sz w:val="21"/>
          <w:szCs w:val="21"/>
          <w:lang w:val="en-US" w:eastAsia="zh-CN"/>
        </w:rPr>
        <w:t>管理体系的技术代差与健康服务断层</w:t>
      </w:r>
      <w:bookmarkEnd w:id="2"/>
      <w:bookmarkEnd w:id="3"/>
    </w:p>
    <w:p>
      <w:pPr>
        <w:keepNext w:val="0"/>
        <w:keepLines w:val="0"/>
        <w:widowControl w:val="0"/>
        <w:suppressLineNumbers w:val="0"/>
        <w:spacing w:before="120" w:beforeAutospacing="0" w:after="120" w:afterAutospacing="0" w:line="288" w:lineRule="auto"/>
        <w:ind w:left="0" w:right="0" w:firstLine="42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在公共卫生服务体系中，发热门诊的流行病学调查与患者健康管理作为传染病防控的第一道防线，长期面临系统性挑战。以某三甲医院为例，2023年甲流高发期单日发热患者超500例，传统人工流调耗时长达20分钟/例，医护人员需重复询问接触史、症状演变等基础信息，导致候诊时间延长至3小时以上。更严重的是，部分患者因隐私顾虑隐瞒用药记录或活动轨迹，致使一些高危密接者未被及时追踪，院内交叉感染风险激增。与此同时，患者离院后的体温波动、并发症预警缺乏持续监测，仅12%的医院提供随访服务，导致32%的肺炎患者因病情延误再次入院。</w:t>
      </w:r>
    </w:p>
    <w:p>
      <w:pPr>
        <w:bidi w:val="0"/>
        <w:rPr>
          <w:rFonts w:hint="eastAsia"/>
          <w:sz w:val="21"/>
          <w:szCs w:val="21"/>
        </w:rPr>
      </w:pPr>
      <w:r>
        <w:rPr>
          <w:rFonts w:hint="eastAsia"/>
          <w:sz w:val="21"/>
          <w:szCs w:val="21"/>
          <w:lang w:val="en-US" w:eastAsia="zh-CN"/>
        </w:rPr>
        <w:t>传统发热患者管理体系的系统性缺陷，本质上“静态管控”与“动态场景”的割裂状态，此类问题暴露了传统发热患者管理的三大核心痛点。</w:t>
      </w:r>
    </w:p>
    <w:p>
      <w:pPr>
        <w:pStyle w:val="4"/>
        <w:bidi w:val="0"/>
        <w:rPr>
          <w:rFonts w:hint="eastAsia"/>
          <w:sz w:val="21"/>
          <w:szCs w:val="21"/>
        </w:rPr>
      </w:pPr>
      <w:bookmarkStart w:id="4" w:name="_Toc22256"/>
      <w:r>
        <w:rPr>
          <w:rFonts w:hint="eastAsia"/>
          <w:sz w:val="21"/>
          <w:szCs w:val="21"/>
          <w:lang w:val="en-US" w:eastAsia="zh-CN"/>
        </w:rPr>
        <w:t>效率低下与信息精准度不足：</w:t>
      </w:r>
      <w:bookmarkEnd w:id="4"/>
    </w:p>
    <w:p>
      <w:pPr>
        <w:keepNext w:val="0"/>
        <w:keepLines w:val="0"/>
        <w:widowControl w:val="0"/>
        <w:suppressLineNumbers w:val="0"/>
        <w:spacing w:before="120" w:beforeAutospacing="0" w:after="120" w:afterAutospacing="0" w:line="288" w:lineRule="auto"/>
        <w:ind w:left="0" w:right="0" w:firstLine="42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传统流调依赖人工问询与纸质记录，流程繁琐且标准化程度低。医疗机构普遍采用固定问卷模板，无法根据患者个体特征动态调整问题，导致关键信息遗漏。例如，对免疫抑制患者未针对性追问“近期激素使用剂量”，难以评估重症转化风险。在疫情高发期，医护人员需重复询问接触史、症状演变等基础信息，导致候诊时间显著延长，加剧院内交叉感染风险。</w:t>
      </w:r>
    </w:p>
    <w:p>
      <w:pPr>
        <w:keepNext w:val="0"/>
        <w:keepLines w:val="0"/>
        <w:widowControl w:val="0"/>
        <w:suppressLineNumbers w:val="0"/>
        <w:spacing w:before="120" w:beforeAutospacing="0" w:after="120" w:afterAutospacing="0" w:line="288" w:lineRule="auto"/>
        <w:ind w:left="0" w:right="0" w:firstLine="42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这种低效模式的核心症结在于工具与需求的代际鸿沟。传统流调问卷内容僵化，无法捕捉新型传播路径或患者个性化医疗背景。例如，面对呼吸道传染病患者，问卷未结合其职业属性（如医护人员、冷链从业者）生成针对性问题，导致防护措施暴露史等重要信息缺失。此外，人工记录与数据录入的割裂性，使得流调结果难以实时同步至电子病历系统，医生需重复核对信息，进一步延误分诊决策。这种效率与精准度的双重缺失，不仅加重了医疗资源负担，更可能因信息遗漏导致防控滞后。</w:t>
      </w:r>
    </w:p>
    <w:p>
      <w:pPr>
        <w:pStyle w:val="4"/>
        <w:bidi w:val="0"/>
        <w:rPr>
          <w:rFonts w:hint="eastAsia"/>
          <w:sz w:val="21"/>
          <w:szCs w:val="21"/>
        </w:rPr>
      </w:pPr>
      <w:bookmarkStart w:id="5" w:name="_Toc12125"/>
      <w:r>
        <w:rPr>
          <w:rFonts w:hint="eastAsia"/>
          <w:sz w:val="21"/>
          <w:szCs w:val="21"/>
          <w:lang w:val="en-US" w:eastAsia="zh-CN"/>
        </w:rPr>
        <w:t>健康监测断层</w:t>
      </w:r>
      <w:bookmarkEnd w:id="5"/>
    </w:p>
    <w:p>
      <w:pPr>
        <w:bidi w:val="0"/>
        <w:rPr>
          <w:rFonts w:hint="eastAsia"/>
          <w:sz w:val="21"/>
          <w:szCs w:val="21"/>
        </w:rPr>
      </w:pPr>
      <w:r>
        <w:rPr>
          <w:rFonts w:hint="eastAsia"/>
          <w:sz w:val="21"/>
          <w:szCs w:val="21"/>
          <w:lang w:val="en-US" w:eastAsia="zh-CN"/>
        </w:rPr>
        <w:t>患者离院后的健康监测体系存在显著断层。医疗机构普遍依赖患者自主上报体温、血氧等指标，异常值漏报率较高。对于高血压、糖尿病等慢性病患者，发热期间的生理指标波动缺乏实时监测，并发症发生率显著提升。例如，糖尿病患者在发热期间可能出现血糖剧烈波动，但现有系统未建立预警机制，导致患者往往在出现严重症状后才再次就医。</w:t>
      </w:r>
    </w:p>
    <w:p>
      <w:pPr>
        <w:bidi w:val="0"/>
        <w:rPr>
          <w:rFonts w:hint="eastAsia"/>
          <w:sz w:val="21"/>
          <w:szCs w:val="21"/>
        </w:rPr>
      </w:pPr>
      <w:r>
        <w:rPr>
          <w:rFonts w:hint="eastAsia"/>
          <w:sz w:val="21"/>
          <w:szCs w:val="21"/>
          <w:lang w:val="en-US" w:eastAsia="zh-CN"/>
        </w:rPr>
        <w:t>这种监测断层在基层医疗机构尤为突出。多数基层医院未配备智能化随访工具，患者离院后健康干预几乎空白。医护人员需手动追踪患者指标，通过电话或纸质表格收集数据，效率低下且易出错。例如，一些社区医院尝试通过微信群收集患者体温数据，但因信息混杂、格式不统一，难以形成有效分析。这种“门诊-家庭”的数据割裂，不仅影响个体健康管理，更阻碍公共卫生部门对区域疫情趋势的全局把控。</w:t>
      </w:r>
    </w:p>
    <w:p>
      <w:pPr>
        <w:pStyle w:val="4"/>
        <w:bidi w:val="0"/>
        <w:rPr>
          <w:rFonts w:hint="eastAsia"/>
          <w:sz w:val="21"/>
          <w:szCs w:val="21"/>
        </w:rPr>
      </w:pPr>
      <w:bookmarkStart w:id="6" w:name="_Toc9229"/>
      <w:r>
        <w:rPr>
          <w:rFonts w:hint="eastAsia"/>
          <w:sz w:val="21"/>
          <w:szCs w:val="21"/>
          <w:lang w:val="en-US" w:eastAsia="zh-CN"/>
        </w:rPr>
        <w:t>隐私安全与公众信任危机</w:t>
      </w:r>
      <w:bookmarkEnd w:id="6"/>
    </w:p>
    <w:p>
      <w:pPr>
        <w:bidi w:val="0"/>
        <w:rPr>
          <w:rFonts w:hint="eastAsia"/>
          <w:sz w:val="21"/>
          <w:szCs w:val="21"/>
        </w:rPr>
      </w:pPr>
      <w:r>
        <w:rPr>
          <w:rFonts w:hint="eastAsia"/>
          <w:sz w:val="21"/>
          <w:szCs w:val="21"/>
          <w:lang w:val="en-US" w:eastAsia="zh-CN"/>
        </w:rPr>
        <w:t>传统流调的数据存储与传输方式存在安全隐患。纸质流调表与电子台账的信息泄露事件频发，直接导致部分患者拒绝配合后续健康跟踪。在新冠肺炎期间曾发生流调信息在社交平台传播事件，患者住址、职业等敏感信息被恶意利用，引发公众对流调工作的抵触情绪。</w:t>
      </w:r>
    </w:p>
    <w:p>
      <w:pPr>
        <w:bidi w:val="0"/>
        <w:rPr>
          <w:rFonts w:hint="eastAsia"/>
          <w:sz w:val="21"/>
          <w:szCs w:val="21"/>
        </w:rPr>
      </w:pPr>
      <w:r>
        <w:rPr>
          <w:rFonts w:hint="eastAsia"/>
          <w:sz w:val="21"/>
          <w:szCs w:val="21"/>
          <w:lang w:val="en-US" w:eastAsia="zh-CN"/>
        </w:rPr>
        <w:t>更深层次的矛盾在于数据采集与使用权的失衡。传统模式未建立分级权限机制，社区工作人员可访问完整流调信息，违背“最小必要”原则，使敏感数据暴露于网络攻击与内部泄露风险中。例如，在疫情防控中，患者的活动轨迹被过度公开，甚至用于非医疗目的如商业推销，进一步削弱公众信任。这种隐私保护机制的缺失，不仅降低数据采集质量，更可能引发社会信任危机，形成“隐瞒信息→防控失效→疫情扩散”的恶性循环。</w:t>
      </w:r>
    </w:p>
    <w:p>
      <w:pPr>
        <w:keepNext w:val="0"/>
        <w:keepLines w:val="0"/>
        <w:widowControl w:val="0"/>
        <w:suppressLineNumbers w:val="0"/>
        <w:spacing w:before="120" w:beforeAutospacing="0" w:after="120" w:afterAutospacing="0" w:line="288" w:lineRule="auto"/>
        <w:ind w:left="0" w:right="0" w:firstLine="42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 xml:space="preserve"> </w:t>
      </w:r>
    </w:p>
    <w:p>
      <w:pPr>
        <w:pStyle w:val="4"/>
        <w:bidi w:val="0"/>
        <w:rPr>
          <w:rFonts w:hint="eastAsia"/>
          <w:sz w:val="21"/>
          <w:szCs w:val="21"/>
        </w:rPr>
      </w:pPr>
      <w:bookmarkStart w:id="7" w:name="_Toc30662"/>
      <w:r>
        <w:rPr>
          <w:rFonts w:hint="eastAsia"/>
          <w:sz w:val="21"/>
          <w:szCs w:val="21"/>
          <w:lang w:val="en-US" w:eastAsia="zh-CN"/>
        </w:rPr>
        <w:t>功能单一与场景延展性不足</w:t>
      </w:r>
      <w:bookmarkEnd w:id="7"/>
    </w:p>
    <w:p>
      <w:pPr>
        <w:bidi w:val="0"/>
        <w:rPr>
          <w:rFonts w:hint="eastAsia"/>
          <w:sz w:val="21"/>
          <w:szCs w:val="21"/>
        </w:rPr>
      </w:pPr>
      <w:r>
        <w:rPr>
          <w:rFonts w:hint="eastAsia"/>
          <w:sz w:val="21"/>
          <w:szCs w:val="21"/>
          <w:lang w:val="en-US" w:eastAsia="zh-CN"/>
        </w:rPr>
        <w:t>现有流调系统多聚焦传染病单点防控，难以适配慢性病管理、心理健康等健康服务需求。健康管理平台的数据联动能力有限，健康建议缺乏个体化医学背景支撑。现行管理体系呈现显著的“碎片化”特征，流调、诊疗、健康监测等环节分属独立系统，数据流转与业务协同机制缺失。既增加重复劳动时间，又导致离院患者失管（如肺炎患者未获复诊提醒）。</w:t>
      </w:r>
    </w:p>
    <w:p>
      <w:pPr>
        <w:bidi w:val="0"/>
        <w:rPr>
          <w:rFonts w:hint="eastAsia"/>
          <w:sz w:val="21"/>
          <w:szCs w:val="21"/>
        </w:rPr>
      </w:pPr>
      <w:r>
        <w:rPr>
          <w:rFonts w:hint="eastAsia"/>
          <w:sz w:val="21"/>
          <w:szCs w:val="21"/>
          <w:lang w:val="en-US" w:eastAsia="zh-CN"/>
        </w:rPr>
        <w:t>这种流程割裂在跨机构场景中更为突出。基层医疗机构与三甲医院之间缺乏数据互通渠道，慢性病患者的发热记录、用药调整建议等信息无法形成连续性健康档案。流程的孤岛化不仅造成资源浪费，更使“院前预警—院中干预—院后管理”的全周期服务链条断裂，削弱公共卫生体系的整体韧性。</w:t>
      </w:r>
    </w:p>
    <w:p>
      <w:pPr>
        <w:pStyle w:val="4"/>
        <w:bidi w:val="0"/>
        <w:rPr>
          <w:rFonts w:hint="eastAsia"/>
          <w:sz w:val="21"/>
          <w:szCs w:val="21"/>
        </w:rPr>
      </w:pPr>
      <w:bookmarkStart w:id="8" w:name="_Toc9260"/>
      <w:bookmarkStart w:id="9" w:name="heading_4"/>
      <w:r>
        <w:rPr>
          <w:rFonts w:hint="eastAsia"/>
          <w:sz w:val="21"/>
          <w:szCs w:val="21"/>
          <w:lang w:val="en-US" w:eastAsia="zh-CN"/>
        </w:rPr>
        <w:t>总结</w:t>
      </w:r>
      <w:bookmarkEnd w:id="8"/>
      <w:bookmarkEnd w:id="9"/>
    </w:p>
    <w:p>
      <w:pPr>
        <w:keepNext w:val="0"/>
        <w:keepLines w:val="0"/>
        <w:widowControl w:val="0"/>
        <w:numPr>
          <w:ilvl w:val="0"/>
          <w:numId w:val="2"/>
        </w:numPr>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防控成本攀升</w:t>
      </w:r>
      <w:r>
        <w:rPr>
          <w:rFonts w:hint="eastAsia" w:ascii="仿宋_GB2312" w:hAnsi="Times New Roman" w:eastAsia="仿宋_GB2312" w:cs="仿宋_GB2312"/>
          <w:color w:val="auto"/>
          <w:kern w:val="0"/>
          <w:sz w:val="21"/>
          <w:szCs w:val="21"/>
          <w:lang w:val="en-US" w:eastAsia="zh-CN" w:bidi="ar"/>
        </w:rPr>
        <w:t>：人工流调、重复录入、跨机构协调等低效环节推高行政支出，部分地区单次疫情处置成本超千万元；</w:t>
      </w:r>
    </w:p>
    <w:p>
      <w:pPr>
        <w:keepNext w:val="0"/>
        <w:keepLines w:val="0"/>
        <w:widowControl w:val="0"/>
        <w:numPr>
          <w:ilvl w:val="0"/>
          <w:numId w:val="3"/>
        </w:numPr>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健康公平受损</w:t>
      </w:r>
      <w:r>
        <w:rPr>
          <w:rFonts w:hint="eastAsia" w:ascii="仿宋_GB2312" w:hAnsi="Times New Roman" w:eastAsia="仿宋_GB2312" w:cs="仿宋_GB2312"/>
          <w:color w:val="auto"/>
          <w:kern w:val="0"/>
          <w:sz w:val="21"/>
          <w:szCs w:val="21"/>
          <w:lang w:val="en-US" w:eastAsia="zh-CN" w:bidi="ar"/>
        </w:rPr>
        <w:t>：基层机构技术能力不足，偏远地区患者难以获得连续性健康管理服务；</w:t>
      </w:r>
    </w:p>
    <w:p>
      <w:pPr>
        <w:keepNext w:val="0"/>
        <w:keepLines w:val="0"/>
        <w:widowControl w:val="0"/>
        <w:numPr>
          <w:ilvl w:val="0"/>
          <w:numId w:val="4"/>
        </w:numPr>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社会信任流失</w:t>
      </w:r>
      <w:r>
        <w:rPr>
          <w:rFonts w:hint="eastAsia" w:ascii="仿宋_GB2312" w:hAnsi="Times New Roman" w:eastAsia="仿宋_GB2312" w:cs="仿宋_GB2312"/>
          <w:color w:val="auto"/>
          <w:kern w:val="0"/>
          <w:sz w:val="21"/>
          <w:szCs w:val="21"/>
          <w:lang w:val="en-US" w:eastAsia="zh-CN" w:bidi="ar"/>
        </w:rPr>
        <w:t>：隐私泄露事件频发削弱公众配合度，防控政策执行阻力增大。</w:t>
      </w:r>
    </w:p>
    <w:p>
      <w:pPr>
        <w:pStyle w:val="4"/>
        <w:bidi w:val="0"/>
        <w:rPr>
          <w:rFonts w:hint="eastAsia"/>
          <w:sz w:val="21"/>
          <w:szCs w:val="21"/>
        </w:rPr>
      </w:pPr>
      <w:bookmarkStart w:id="10" w:name="_Toc12663"/>
      <w:bookmarkStart w:id="11" w:name="heading_5"/>
      <w:r>
        <w:rPr>
          <w:rFonts w:hint="eastAsia"/>
          <w:sz w:val="21"/>
          <w:szCs w:val="21"/>
          <w:lang w:val="en-US" w:eastAsia="zh-CN"/>
        </w:rPr>
        <w:t>破局方向：智能流调与健康管理的技术重构</w:t>
      </w:r>
      <w:bookmarkEnd w:id="10"/>
      <w:bookmarkEnd w:id="11"/>
    </w:p>
    <w:p>
      <w:pPr>
        <w:bidi w:val="0"/>
        <w:rPr>
          <w:rFonts w:hint="eastAsia"/>
          <w:sz w:val="21"/>
          <w:szCs w:val="21"/>
          <w:lang w:val="en-US" w:eastAsia="zh-CN"/>
        </w:rPr>
      </w:pPr>
      <w:r>
        <w:rPr>
          <w:rFonts w:hint="eastAsia"/>
          <w:sz w:val="21"/>
          <w:szCs w:val="21"/>
          <w:lang w:val="en-US" w:eastAsia="zh-CN"/>
        </w:rPr>
        <w:t>解决传统模式的结构性矛盾，需跳出局部优化的思维局限，通过技术筑基、流程再造、资源重配的三重变革，构建“数据驱动—场景适配—生态协同”的新型公共卫生服务体系。</w:t>
      </w:r>
      <w:r>
        <w:rPr>
          <w:rFonts w:hint="eastAsia" w:ascii="仿宋" w:hAnsi="仿宋" w:eastAsia="仿宋" w:cs="仿宋"/>
          <w:sz w:val="21"/>
          <w:szCs w:val="21"/>
          <w:lang w:val="en-US" w:eastAsia="zh-CN"/>
        </w:rPr>
        <w:t>HEALINK</w:t>
      </w:r>
      <w:r>
        <w:rPr>
          <w:rFonts w:hint="eastAsia"/>
          <w:sz w:val="21"/>
          <w:szCs w:val="21"/>
          <w:lang w:val="en-US" w:eastAsia="zh-CN"/>
        </w:rPr>
        <w:t>项目正是基于此逻辑，以动态场景引擎与多模态数据治理为核心，推动发热患者管理从“被动应对”向“主动预防”的范式转型，为破解工业化工具与数字化需求的结构性冲突提供系统性答案。</w:t>
      </w:r>
    </w:p>
    <w:p>
      <w:pPr>
        <w:pStyle w:val="4"/>
        <w:numPr>
          <w:numId w:val="0"/>
        </w:numPr>
        <w:bidi w:val="0"/>
        <w:ind w:leftChars="0"/>
        <w:outlineLvl w:val="3"/>
        <w:rPr>
          <w:rFonts w:hint="eastAsia"/>
          <w:sz w:val="21"/>
          <w:szCs w:val="21"/>
        </w:rPr>
      </w:pPr>
      <w:r>
        <w:rPr>
          <w:rFonts w:hint="eastAsia" w:ascii="仿宋" w:hAnsi="仿宋" w:eastAsia="仿宋" w:cs="仿宋"/>
          <w:sz w:val="21"/>
          <w:szCs w:val="21"/>
          <w:lang w:val="en-US" w:eastAsia="zh-CN"/>
        </w:rPr>
        <w:t xml:space="preserve">1.1.6.1. </w:t>
      </w:r>
      <w:r>
        <w:rPr>
          <w:rFonts w:hint="eastAsia"/>
          <w:sz w:val="21"/>
          <w:szCs w:val="21"/>
          <w:lang w:val="en-US" w:eastAsia="zh-CN"/>
        </w:rPr>
        <w:t>精准防控+全程管理</w:t>
      </w:r>
    </w:p>
    <w:p>
      <w:pPr>
        <w:keepNext w:val="0"/>
        <w:keepLines w:val="0"/>
        <w:widowControl w:val="0"/>
        <w:numPr>
          <w:ilvl w:val="0"/>
          <w:numId w:val="5"/>
        </w:numPr>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动态场景适配</w:t>
      </w:r>
      <w:r>
        <w:rPr>
          <w:rFonts w:hint="eastAsia" w:ascii="仿宋_GB2312" w:hAnsi="Times New Roman" w:eastAsia="仿宋_GB2312" w:cs="仿宋_GB2312"/>
          <w:color w:val="auto"/>
          <w:kern w:val="0"/>
          <w:sz w:val="21"/>
          <w:szCs w:val="21"/>
          <w:lang w:val="en-US" w:eastAsia="zh-CN" w:bidi="ar"/>
        </w:rPr>
        <w:t>：基于患者画像（基础疾病、用药史）与实时体征数据，生成个性化流调问题链。例如，对糖尿病患者自动追加“近期血糖监测频率”，结合可穿戴设备数据预测酮症酸中毒风险。</w:t>
      </w:r>
    </w:p>
    <w:p>
      <w:pPr>
        <w:keepNext w:val="0"/>
        <w:keepLines w:val="0"/>
        <w:widowControl w:val="0"/>
        <w:numPr>
          <w:ilvl w:val="0"/>
          <w:numId w:val="6"/>
        </w:numPr>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多模态数据融合</w:t>
      </w:r>
      <w:r>
        <w:rPr>
          <w:rFonts w:hint="eastAsia" w:ascii="仿宋_GB2312" w:hAnsi="Times New Roman" w:eastAsia="仿宋_GB2312" w:cs="仿宋_GB2312"/>
          <w:color w:val="auto"/>
          <w:kern w:val="0"/>
          <w:sz w:val="21"/>
          <w:szCs w:val="21"/>
          <w:lang w:val="en-US" w:eastAsia="zh-CN" w:bidi="ar"/>
        </w:rPr>
        <w:t>：整合医院HIS系统、智能手环监测指标与地理信息数据，构建“发热门诊-家庭-社区”健康闭环。例如，当患者体温持续高于38.5℃且活动半径超出1公里时，系统自动推送复诊提醒并同步至社区医生。</w:t>
      </w:r>
    </w:p>
    <w:p>
      <w:pPr>
        <w:keepNext w:val="0"/>
        <w:keepLines w:val="0"/>
        <w:widowControl w:val="0"/>
        <w:numPr>
          <w:ilvl w:val="0"/>
          <w:numId w:val="7"/>
        </w:numPr>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隐私安全增强</w:t>
      </w:r>
      <w:r>
        <w:rPr>
          <w:rFonts w:hint="eastAsia" w:ascii="仿宋_GB2312" w:hAnsi="Times New Roman" w:eastAsia="仿宋_GB2312" w:cs="仿宋_GB2312"/>
          <w:color w:val="auto"/>
          <w:kern w:val="0"/>
          <w:sz w:val="21"/>
          <w:szCs w:val="21"/>
          <w:lang w:val="en-US" w:eastAsia="zh-CN" w:bidi="ar"/>
        </w:rPr>
        <w:t>：采用联邦学习框架，原始数据本地脱敏处理，仅加密上传统计特征至疾控中心。区块链存证技术确保数据调阅路径可追溯，敏感字段（如住址）动态掩码显示为“XX区XX路”，泄露风险趋近于零。</w:t>
      </w:r>
    </w:p>
    <w:p>
      <w:pPr>
        <w:pStyle w:val="4"/>
        <w:numPr>
          <w:numId w:val="0"/>
        </w:numPr>
        <w:bidi w:val="0"/>
        <w:ind w:leftChars="0"/>
        <w:outlineLvl w:val="3"/>
        <w:rPr>
          <w:rFonts w:hint="eastAsia"/>
          <w:sz w:val="21"/>
          <w:szCs w:val="21"/>
          <w:lang w:val="en-US" w:eastAsia="zh-CN"/>
        </w:rPr>
      </w:pPr>
      <w:r>
        <w:rPr>
          <w:rFonts w:hint="eastAsia" w:ascii="仿宋" w:hAnsi="仿宋" w:eastAsia="仿宋" w:cs="仿宋"/>
          <w:sz w:val="21"/>
          <w:szCs w:val="21"/>
          <w:lang w:val="en-US" w:eastAsia="zh-CN"/>
        </w:rPr>
        <w:t xml:space="preserve">1.1.6.2. </w:t>
      </w:r>
      <w:r>
        <w:rPr>
          <w:rFonts w:hint="eastAsia"/>
          <w:sz w:val="21"/>
          <w:szCs w:val="21"/>
          <w:lang w:val="en-US" w:eastAsia="zh-CN"/>
        </w:rPr>
        <w:t>两阶段战略：从精准流调到全民健康管家</w:t>
      </w:r>
    </w:p>
    <w:p>
      <w:pPr>
        <w:keepNext w:val="0"/>
        <w:keepLines w:val="0"/>
        <w:widowControl w:val="0"/>
        <w:numPr>
          <w:ilvl w:val="0"/>
          <w:numId w:val="8"/>
        </w:numPr>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一阶段：发热门诊智能升级</w:t>
      </w:r>
      <w:r>
        <w:rPr>
          <w:rFonts w:hint="eastAsia" w:ascii="仿宋_GB2312" w:hAnsi="Times New Roman" w:eastAsia="仿宋_GB2312" w:cs="仿宋_GB2312"/>
          <w:color w:val="auto"/>
          <w:kern w:val="0"/>
          <w:sz w:val="21"/>
          <w:szCs w:val="21"/>
          <w:lang w:val="en-US" w:eastAsia="zh-CN" w:bidi="ar"/>
        </w:rPr>
        <w:t xml:space="preserve"> 聚焦发热患者全周期管理，通过动态问答引擎将流调耗时压缩至3分钟/例，数据完整率提升至98%。系统自动生成健康风险报告（如肺炎概率、用药禁忌提示），并直连家庭医生平台实现离院跟踪。</w:t>
      </w:r>
    </w:p>
    <w:p>
      <w:pPr>
        <w:keepNext w:val="0"/>
        <w:keepLines w:val="0"/>
        <w:widowControl w:val="0"/>
        <w:numPr>
          <w:ilvl w:val="0"/>
          <w:numId w:val="9"/>
        </w:numPr>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二阶段：健康管理生态扩展</w:t>
      </w:r>
      <w:r>
        <w:rPr>
          <w:rFonts w:hint="eastAsia" w:ascii="仿宋_GB2312" w:hAnsi="Times New Roman" w:eastAsia="仿宋_GB2312" w:cs="仿宋_GB2312"/>
          <w:color w:val="auto"/>
          <w:kern w:val="0"/>
          <w:sz w:val="21"/>
          <w:szCs w:val="21"/>
          <w:lang w:val="en-US" w:eastAsia="zh-CN" w:bidi="ar"/>
        </w:rPr>
        <w:t xml:space="preserve"> 推出“健康助手”小程序，以“情绪日记”式交互收集用户健康数据。慢性病患者每日上传血糖、血压指标后，系统基于强化学习模型生成动态干预方案（如“今日减少主食摄入100克”）；亚健康人群通过语音描述症状，获取AI分诊建议与三甲医院直连服务。订阅制健康管家（9.9元/月）进一步解锁个性化功能，如用药冲突预警、心理健康评估等，首年目标用户转化率15%。</w:t>
      </w:r>
    </w:p>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通过“技术-场景-生态”的递进式布局，项目将重构发热患者管理范式，并为全民健康管理提供可复用的基础设施，最终实现“精准流调筑基，健康服务普惠”的社会价值。</w:t>
      </w:r>
    </w:p>
    <w:p>
      <w:pPr>
        <w:keepNext w:val="0"/>
        <w:keepLines w:val="0"/>
        <w:widowControl w:val="0"/>
        <w:suppressLineNumbers w:val="0"/>
        <w:spacing w:before="120" w:beforeAutospacing="0" w:after="120" w:afterAutospacing="0" w:line="288" w:lineRule="auto"/>
        <w:ind w:left="0" w:right="0" w:firstLine="42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 xml:space="preserve"> </w:t>
      </w:r>
    </w:p>
    <w:p>
      <w:pPr>
        <w:pStyle w:val="3"/>
        <w:bidi w:val="0"/>
        <w:rPr>
          <w:rFonts w:hint="eastAsia"/>
          <w:lang w:val="en-US" w:eastAsia="zh-CN"/>
        </w:rPr>
      </w:pPr>
      <w:bookmarkStart w:id="12" w:name="_Toc30347"/>
      <w:r>
        <w:rPr>
          <w:rFonts w:hint="eastAsia"/>
          <w:sz w:val="21"/>
          <w:szCs w:val="21"/>
          <w:lang w:val="en-US" w:eastAsia="zh-CN"/>
        </w:rPr>
        <w:t>现代流行病状况：全球危机与城市防控的双重挑战</w:t>
      </w:r>
      <w:bookmarkEnd w:id="12"/>
    </w:p>
    <w:p>
      <w:pPr>
        <w:bidi w:val="0"/>
        <w:jc w:val="left"/>
        <w:rPr>
          <w:rFonts w:hint="eastAsia"/>
          <w:sz w:val="21"/>
          <w:szCs w:val="21"/>
          <w:lang w:val="en-US" w:eastAsia="zh-CN"/>
        </w:rPr>
      </w:pPr>
      <w:r>
        <w:rPr>
          <w:rFonts w:hint="eastAsia"/>
          <w:sz w:val="21"/>
          <w:szCs w:val="21"/>
          <w:lang w:val="en-US" w:eastAsia="zh-CN"/>
        </w:rPr>
        <w:t>近年来，全球流行病多发的现状已成为公共卫生领域的重要挑战。一方面，艾滋病、结核病等传统传染病仍在全球范围内延宕难愈，另一方面，新发传染病呈现加速涌现态势，从SARS、甲型H1N1流感、COVID-19到猴痘疫情，短短二十年间多次引发全球性危机。这一双重压力在呼吸道传染病领域尤为凸显——世界卫生组织数据显示，下呼吸道感染常年位居全球致死病因前四位，2019年直接导致260万人死亡。而在中国，流感、肺炎支原体、呼吸道合胞病毒等病原体交织传播，形成季节性流行高峰：每年春、秋两季，医院儿科与发热门诊常因病原体混合感染出现就诊量激增。</w:t>
      </w:r>
    </w:p>
    <w:tbl>
      <w:tblPr>
        <w:tblStyle w:val="20"/>
        <w:tblpPr w:leftFromText="180" w:rightFromText="180" w:vertAnchor="text" w:horzAnchor="page" w:tblpX="1765" w:tblpY="212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 w:type="dxa"/>
          <w:bottom w:w="0" w:type="dxa"/>
          <w:right w:w="10" w:type="dxa"/>
        </w:tblCellMar>
      </w:tblPr>
      <w:tblGrid>
        <w:gridCol w:w="2145"/>
        <w:gridCol w:w="1965"/>
        <w:gridCol w:w="1620"/>
        <w:gridCol w:w="25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8295" w:type="dxa"/>
            <w:gridSpan w:val="4"/>
            <w:shd w:val="clear" w:color="auto" w:fill="auto"/>
            <w:tcMar>
              <w:top w:w="60" w:type="dxa"/>
              <w:left w:w="120" w:type="dxa"/>
              <w:bottom w:w="30" w:type="dxa"/>
              <w:right w:w="120" w:type="dxa"/>
            </w:tcMar>
            <w:vAlign w:val="center"/>
          </w:tcPr>
          <w:p>
            <w:pPr>
              <w:keepNext w:val="0"/>
              <w:keepLines w:val="0"/>
              <w:widowControl w:val="0"/>
              <w:suppressLineNumbers w:val="0"/>
              <w:spacing w:before="0" w:beforeAutospacing="0" w:after="0" w:afterLines="0" w:afterAutospacing="0" w:line="240" w:lineRule="auto"/>
              <w:ind w:left="0" w:right="0" w:firstLine="0" w:firstLineChars="0"/>
              <w:jc w:val="center"/>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2003 年 SARS 后全球主要新发传染病的流行特征及溯源情况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145" w:type="dxa"/>
            <w:shd w:val="clear" w:color="auto" w:fill="auto"/>
            <w:tcMar>
              <w:top w:w="60" w:type="dxa"/>
              <w:left w:w="120" w:type="dxa"/>
              <w:bottom w:w="30" w:type="dxa"/>
              <w:right w:w="120" w:type="dxa"/>
            </w:tcMar>
            <w:vAlign w:val="center"/>
          </w:tcPr>
          <w:p>
            <w:pPr>
              <w:keepNext w:val="0"/>
              <w:keepLines w:val="0"/>
              <w:widowControl w:val="0"/>
              <w:suppressLineNumbers w:val="0"/>
              <w:spacing w:before="120" w:beforeAutospacing="0" w:after="120" w:afterAutospacing="0" w:line="288" w:lineRule="auto"/>
              <w:ind w:left="0" w:right="0"/>
              <w:jc w:val="center"/>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首发年代</w:t>
            </w:r>
          </w:p>
        </w:tc>
        <w:tc>
          <w:tcPr>
            <w:tcW w:w="1965" w:type="dxa"/>
            <w:shd w:val="clear" w:color="auto" w:fill="auto"/>
            <w:tcMar>
              <w:top w:w="60" w:type="dxa"/>
              <w:left w:w="120" w:type="dxa"/>
              <w:bottom w:w="30" w:type="dxa"/>
              <w:right w:w="120" w:type="dxa"/>
            </w:tcMar>
            <w:vAlign w:val="center"/>
          </w:tcPr>
          <w:p>
            <w:pPr>
              <w:keepNext w:val="0"/>
              <w:keepLines w:val="0"/>
              <w:suppressLineNumbers w:val="0"/>
              <w:bidi w:val="0"/>
              <w:spacing w:before="0" w:beforeAutospacing="0" w:afterAutospacing="0"/>
              <w:ind w:left="0" w:right="0"/>
              <w:jc w:val="both"/>
              <w:rPr>
                <w:rFonts w:hint="eastAsia"/>
              </w:rPr>
            </w:pPr>
            <w:r>
              <w:rPr>
                <w:rFonts w:hint="eastAsia"/>
                <w:lang w:val="en-US" w:eastAsia="zh-CN"/>
              </w:rPr>
              <w:t>新发传染病</w:t>
            </w:r>
          </w:p>
        </w:tc>
        <w:tc>
          <w:tcPr>
            <w:tcW w:w="1620" w:type="dxa"/>
            <w:shd w:val="clear" w:color="auto" w:fill="auto"/>
            <w:tcMar>
              <w:top w:w="60" w:type="dxa"/>
              <w:left w:w="120" w:type="dxa"/>
              <w:bottom w:w="30" w:type="dxa"/>
              <w:right w:w="120" w:type="dxa"/>
            </w:tcMar>
            <w:vAlign w:val="center"/>
          </w:tcPr>
          <w:p>
            <w:pPr>
              <w:keepNext w:val="0"/>
              <w:keepLines w:val="0"/>
              <w:widowControl w:val="0"/>
              <w:suppressLineNumbers w:val="0"/>
              <w:spacing w:before="120" w:beforeAutospacing="0" w:after="120" w:afterAutospacing="0" w:line="288" w:lineRule="auto"/>
              <w:ind w:left="0" w:leftChars="0" w:right="0" w:firstLine="210" w:firstLineChars="100"/>
              <w:jc w:val="both"/>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首次报道</w:t>
            </w:r>
          </w:p>
        </w:tc>
        <w:tc>
          <w:tcPr>
            <w:tcW w:w="2565" w:type="dxa"/>
            <w:shd w:val="clear" w:color="auto" w:fill="auto"/>
            <w:tcMar>
              <w:top w:w="60" w:type="dxa"/>
              <w:left w:w="120" w:type="dxa"/>
              <w:bottom w:w="30" w:type="dxa"/>
              <w:right w:w="120" w:type="dxa"/>
            </w:tcMar>
            <w:vAlign w:val="center"/>
          </w:tcPr>
          <w:p>
            <w:pPr>
              <w:keepNext w:val="0"/>
              <w:keepLines w:val="0"/>
              <w:widowControl w:val="0"/>
              <w:suppressLineNumbers w:val="0"/>
              <w:spacing w:before="120" w:beforeAutospacing="0" w:after="120" w:afterAutospacing="0" w:line="288" w:lineRule="auto"/>
              <w:ind w:left="0" w:right="0"/>
              <w:jc w:val="center"/>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流行规模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145" w:type="dxa"/>
            <w:shd w:val="clear" w:color="auto" w:fill="auto"/>
            <w:tcMar>
              <w:top w:w="60" w:type="dxa"/>
              <w:left w:w="120" w:type="dxa"/>
              <w:bottom w:w="30" w:type="dxa"/>
              <w:right w:w="120" w:type="dxa"/>
            </w:tcMar>
            <w:vAlign w:val="center"/>
          </w:tcPr>
          <w:p>
            <w:pPr>
              <w:keepNext w:val="0"/>
              <w:keepLines w:val="0"/>
              <w:widowControl w:val="0"/>
              <w:suppressLineNumbers w:val="0"/>
              <w:spacing w:before="120" w:beforeAutospacing="0" w:after="120" w:afterAutospacing="0" w:line="288" w:lineRule="auto"/>
              <w:ind w:left="0" w:right="0" w:firstLine="630" w:firstLineChars="300"/>
              <w:jc w:val="both"/>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2002-2003</w:t>
            </w:r>
          </w:p>
        </w:tc>
        <w:tc>
          <w:tcPr>
            <w:tcW w:w="1965" w:type="dxa"/>
            <w:shd w:val="clear" w:color="auto" w:fill="auto"/>
            <w:tcMar>
              <w:top w:w="60" w:type="dxa"/>
              <w:left w:w="120" w:type="dxa"/>
              <w:bottom w:w="30" w:type="dxa"/>
              <w:right w:w="120" w:type="dxa"/>
            </w:tcMar>
            <w:vAlign w:val="center"/>
          </w:tcPr>
          <w:p>
            <w:pPr>
              <w:keepNext w:val="0"/>
              <w:keepLines w:val="0"/>
              <w:widowControl w:val="0"/>
              <w:suppressLineNumbers w:val="0"/>
              <w:spacing w:before="120" w:beforeAutospacing="0" w:after="120" w:afterAutospacing="0" w:line="288" w:lineRule="auto"/>
              <w:ind w:left="0" w:right="0" w:firstLine="630" w:firstLineChars="300"/>
              <w:jc w:val="both"/>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SARS</w:t>
            </w:r>
          </w:p>
        </w:tc>
        <w:tc>
          <w:tcPr>
            <w:tcW w:w="1620" w:type="dxa"/>
            <w:shd w:val="clear" w:color="auto" w:fill="auto"/>
            <w:tcMar>
              <w:top w:w="60" w:type="dxa"/>
              <w:left w:w="120" w:type="dxa"/>
              <w:bottom w:w="30" w:type="dxa"/>
              <w:right w:w="120" w:type="dxa"/>
            </w:tcMar>
            <w:vAlign w:val="center"/>
          </w:tcPr>
          <w:p>
            <w:pPr>
              <w:keepNext w:val="0"/>
              <w:keepLines w:val="0"/>
              <w:widowControl w:val="0"/>
              <w:suppressLineNumbers w:val="0"/>
              <w:spacing w:before="120" w:beforeAutospacing="0" w:after="120" w:afterAutospacing="0" w:line="288" w:lineRule="auto"/>
              <w:ind w:left="0" w:right="0"/>
              <w:jc w:val="both"/>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我国广东</w:t>
            </w:r>
          </w:p>
        </w:tc>
        <w:tc>
          <w:tcPr>
            <w:tcW w:w="2565" w:type="dxa"/>
            <w:shd w:val="clear" w:color="auto" w:fill="auto"/>
            <w:tcMar>
              <w:top w:w="60" w:type="dxa"/>
              <w:left w:w="120" w:type="dxa"/>
              <w:bottom w:w="30" w:type="dxa"/>
              <w:right w:w="120" w:type="dxa"/>
            </w:tcMar>
            <w:vAlign w:val="center"/>
          </w:tcPr>
          <w:p>
            <w:pPr>
              <w:keepNext w:val="0"/>
              <w:keepLines w:val="0"/>
              <w:widowControl w:val="0"/>
              <w:suppressLineNumbers w:val="0"/>
              <w:spacing w:before="120" w:beforeAutospacing="0" w:after="120" w:afterAutospacing="0" w:line="288" w:lineRule="auto"/>
              <w:ind w:left="0" w:right="0"/>
              <w:jc w:val="both"/>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涉及 32 个国家和地区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145" w:type="dxa"/>
            <w:shd w:val="clear" w:color="auto" w:fill="auto"/>
            <w:tcMar>
              <w:top w:w="60" w:type="dxa"/>
              <w:left w:w="120" w:type="dxa"/>
              <w:bottom w:w="30" w:type="dxa"/>
              <w:right w:w="120" w:type="dxa"/>
            </w:tcMar>
            <w:vAlign w:val="center"/>
          </w:tcPr>
          <w:p>
            <w:pPr>
              <w:keepNext w:val="0"/>
              <w:keepLines w:val="0"/>
              <w:widowControl w:val="0"/>
              <w:suppressLineNumbers w:val="0"/>
              <w:spacing w:before="120" w:beforeAutospacing="0" w:after="120" w:afterAutospacing="0" w:line="288" w:lineRule="auto"/>
              <w:ind w:left="0" w:right="0" w:firstLine="630" w:firstLineChars="300"/>
              <w:jc w:val="both"/>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2003-2005</w:t>
            </w:r>
          </w:p>
        </w:tc>
        <w:tc>
          <w:tcPr>
            <w:tcW w:w="1965" w:type="dxa"/>
            <w:shd w:val="clear" w:color="auto" w:fill="auto"/>
            <w:tcMar>
              <w:top w:w="60" w:type="dxa"/>
              <w:left w:w="120" w:type="dxa"/>
              <w:bottom w:w="30" w:type="dxa"/>
              <w:right w:w="120" w:type="dxa"/>
            </w:tcMar>
            <w:vAlign w:val="center"/>
          </w:tcPr>
          <w:p>
            <w:pPr>
              <w:keepNext w:val="0"/>
              <w:keepLines w:val="0"/>
              <w:widowControl w:val="0"/>
              <w:suppressLineNumbers w:val="0"/>
              <w:spacing w:before="120" w:beforeAutospacing="0" w:after="120" w:afterAutospacing="0" w:line="288" w:lineRule="auto"/>
              <w:ind w:left="0" w:right="0"/>
              <w:jc w:val="both"/>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人感染H5N1禽流感</w:t>
            </w:r>
          </w:p>
        </w:tc>
        <w:tc>
          <w:tcPr>
            <w:tcW w:w="1620" w:type="dxa"/>
            <w:shd w:val="clear" w:color="auto" w:fill="auto"/>
            <w:tcMar>
              <w:top w:w="60" w:type="dxa"/>
              <w:left w:w="120" w:type="dxa"/>
              <w:bottom w:w="30" w:type="dxa"/>
              <w:right w:w="120" w:type="dxa"/>
            </w:tcMar>
            <w:vAlign w:val="center"/>
          </w:tcPr>
          <w:p>
            <w:pPr>
              <w:keepNext w:val="0"/>
              <w:keepLines w:val="0"/>
              <w:widowControl w:val="0"/>
              <w:suppressLineNumbers w:val="0"/>
              <w:spacing w:before="120" w:beforeAutospacing="0" w:after="120" w:afterAutospacing="0" w:line="288" w:lineRule="auto"/>
              <w:ind w:left="0" w:right="0"/>
              <w:jc w:val="center"/>
              <w:rPr>
                <w:rFonts w:hint="eastAsia" w:ascii="仿宋_GB2312" w:eastAsia="仿宋_GB2312" w:cs="仿宋_GB2312"/>
                <w:color w:val="auto"/>
                <w:sz w:val="21"/>
                <w:szCs w:val="21"/>
              </w:rPr>
            </w:pPr>
            <w:r>
              <w:rPr>
                <w:rFonts w:hint="eastAsia" w:ascii="仿宋_GB2312" w:hAnsi="Times New Roman" w:cs="仿宋_GB2312"/>
                <w:color w:val="auto"/>
                <w:kern w:val="0"/>
                <w:sz w:val="21"/>
                <w:szCs w:val="21"/>
                <w:lang w:val="en-US" w:eastAsia="zh-CN" w:bidi="ar"/>
              </w:rPr>
              <w:t>我国</w:t>
            </w:r>
            <w:r>
              <w:rPr>
                <w:rFonts w:hint="eastAsia" w:ascii="仿宋_GB2312" w:hAnsi="Times New Roman" w:eastAsia="仿宋_GB2312" w:cs="仿宋_GB2312"/>
                <w:color w:val="auto"/>
                <w:kern w:val="0"/>
                <w:sz w:val="21"/>
                <w:szCs w:val="21"/>
                <w:lang w:val="en-US" w:eastAsia="zh-CN" w:bidi="ar"/>
              </w:rPr>
              <w:t>香港 (1997 年首次报道)</w:t>
            </w:r>
          </w:p>
        </w:tc>
        <w:tc>
          <w:tcPr>
            <w:tcW w:w="2565" w:type="dxa"/>
            <w:shd w:val="clear" w:color="auto" w:fill="auto"/>
            <w:tcMar>
              <w:top w:w="60" w:type="dxa"/>
              <w:left w:w="120" w:type="dxa"/>
              <w:bottom w:w="30" w:type="dxa"/>
              <w:right w:w="120" w:type="dxa"/>
            </w:tcMar>
            <w:vAlign w:val="center"/>
          </w:tcPr>
          <w:p>
            <w:pPr>
              <w:keepNext w:val="0"/>
              <w:keepLines w:val="0"/>
              <w:widowControl w:val="0"/>
              <w:suppressLineNumbers w:val="0"/>
              <w:spacing w:before="120" w:beforeAutospacing="0" w:after="120" w:afterAutospacing="0" w:line="288" w:lineRule="auto"/>
              <w:ind w:left="0" w:right="0"/>
              <w:jc w:val="both"/>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东亚、东南亚、欧洲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145" w:type="dxa"/>
            <w:shd w:val="clear" w:color="auto" w:fill="auto"/>
            <w:tcMar>
              <w:top w:w="60" w:type="dxa"/>
              <w:left w:w="120" w:type="dxa"/>
              <w:bottom w:w="30" w:type="dxa"/>
              <w:right w:w="120" w:type="dxa"/>
            </w:tcMar>
            <w:vAlign w:val="center"/>
          </w:tcPr>
          <w:p>
            <w:pPr>
              <w:keepNext w:val="0"/>
              <w:keepLines w:val="0"/>
              <w:widowControl w:val="0"/>
              <w:suppressLineNumbers w:val="0"/>
              <w:spacing w:before="120" w:beforeAutospacing="0" w:after="120" w:afterAutospacing="0" w:line="288" w:lineRule="auto"/>
              <w:ind w:left="0" w:right="0" w:firstLine="630" w:firstLineChars="300"/>
              <w:jc w:val="both"/>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2009</w:t>
            </w:r>
          </w:p>
        </w:tc>
        <w:tc>
          <w:tcPr>
            <w:tcW w:w="1965" w:type="dxa"/>
            <w:shd w:val="clear" w:color="auto" w:fill="auto"/>
            <w:tcMar>
              <w:top w:w="60" w:type="dxa"/>
              <w:left w:w="120" w:type="dxa"/>
              <w:bottom w:w="30" w:type="dxa"/>
              <w:right w:w="120" w:type="dxa"/>
            </w:tcMar>
            <w:vAlign w:val="center"/>
          </w:tcPr>
          <w:p>
            <w:pPr>
              <w:keepNext w:val="0"/>
              <w:keepLines w:val="0"/>
              <w:widowControl w:val="0"/>
              <w:suppressLineNumbers w:val="0"/>
              <w:spacing w:before="120" w:beforeAutospacing="0" w:after="120" w:afterAutospacing="0" w:line="288" w:lineRule="auto"/>
              <w:ind w:left="0" w:right="0"/>
              <w:jc w:val="both"/>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甲型H1N1流感</w:t>
            </w:r>
          </w:p>
        </w:tc>
        <w:tc>
          <w:tcPr>
            <w:tcW w:w="1620" w:type="dxa"/>
            <w:shd w:val="clear" w:color="auto" w:fill="auto"/>
            <w:tcMar>
              <w:top w:w="60" w:type="dxa"/>
              <w:left w:w="120" w:type="dxa"/>
              <w:bottom w:w="30" w:type="dxa"/>
              <w:right w:w="120" w:type="dxa"/>
            </w:tcMar>
            <w:vAlign w:val="center"/>
          </w:tcPr>
          <w:p>
            <w:pPr>
              <w:keepNext w:val="0"/>
              <w:keepLines w:val="0"/>
              <w:widowControl w:val="0"/>
              <w:suppressLineNumbers w:val="0"/>
              <w:spacing w:before="120" w:beforeAutospacing="0" w:after="120" w:afterAutospacing="0" w:line="288" w:lineRule="auto"/>
              <w:ind w:left="0" w:right="0"/>
              <w:jc w:val="both"/>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美国</w:t>
            </w:r>
          </w:p>
        </w:tc>
        <w:tc>
          <w:tcPr>
            <w:tcW w:w="2565" w:type="dxa"/>
            <w:shd w:val="clear" w:color="auto" w:fill="auto"/>
            <w:tcMar>
              <w:top w:w="60" w:type="dxa"/>
              <w:left w:w="120" w:type="dxa"/>
              <w:bottom w:w="30" w:type="dxa"/>
              <w:right w:w="120" w:type="dxa"/>
            </w:tcMar>
            <w:vAlign w:val="center"/>
          </w:tcPr>
          <w:p>
            <w:pPr>
              <w:keepNext w:val="0"/>
              <w:keepLines w:val="0"/>
              <w:widowControl w:val="0"/>
              <w:suppressLineNumbers w:val="0"/>
              <w:spacing w:before="120" w:beforeAutospacing="0" w:after="120" w:afterAutospacing="0" w:line="288" w:lineRule="auto"/>
              <w:ind w:left="0" w:right="0" w:firstLine="840" w:firstLineChars="400"/>
              <w:jc w:val="both"/>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全球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145" w:type="dxa"/>
            <w:shd w:val="clear" w:color="auto" w:fill="auto"/>
            <w:tcMar>
              <w:top w:w="60" w:type="dxa"/>
              <w:left w:w="120" w:type="dxa"/>
              <w:bottom w:w="30" w:type="dxa"/>
              <w:right w:w="120" w:type="dxa"/>
            </w:tcMar>
            <w:vAlign w:val="center"/>
          </w:tcPr>
          <w:p>
            <w:pPr>
              <w:keepNext w:val="0"/>
              <w:keepLines w:val="0"/>
              <w:widowControl w:val="0"/>
              <w:suppressLineNumbers w:val="0"/>
              <w:spacing w:before="120" w:beforeAutospacing="0" w:after="120" w:afterAutospacing="0" w:line="288" w:lineRule="auto"/>
              <w:ind w:left="0" w:right="0" w:firstLine="630" w:firstLineChars="300"/>
              <w:jc w:val="both"/>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2012</w:t>
            </w:r>
          </w:p>
        </w:tc>
        <w:tc>
          <w:tcPr>
            <w:tcW w:w="1965" w:type="dxa"/>
            <w:shd w:val="clear" w:color="auto" w:fill="auto"/>
            <w:tcMar>
              <w:top w:w="60" w:type="dxa"/>
              <w:left w:w="120" w:type="dxa"/>
              <w:bottom w:w="30" w:type="dxa"/>
              <w:right w:w="120" w:type="dxa"/>
            </w:tcMar>
            <w:vAlign w:val="center"/>
          </w:tcPr>
          <w:p>
            <w:pPr>
              <w:keepNext w:val="0"/>
              <w:keepLines w:val="0"/>
              <w:widowControl w:val="0"/>
              <w:suppressLineNumbers w:val="0"/>
              <w:spacing w:before="120" w:beforeAutospacing="0" w:after="120" w:afterAutospacing="0" w:line="288" w:lineRule="auto"/>
              <w:ind w:left="0" w:right="0" w:firstLine="630" w:firstLineChars="300"/>
              <w:jc w:val="both"/>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MERS</w:t>
            </w:r>
          </w:p>
        </w:tc>
        <w:tc>
          <w:tcPr>
            <w:tcW w:w="1620" w:type="dxa"/>
            <w:shd w:val="clear" w:color="auto" w:fill="auto"/>
            <w:tcMar>
              <w:top w:w="60" w:type="dxa"/>
              <w:left w:w="120" w:type="dxa"/>
              <w:bottom w:w="30" w:type="dxa"/>
              <w:right w:w="120" w:type="dxa"/>
            </w:tcMar>
            <w:vAlign w:val="center"/>
          </w:tcPr>
          <w:p>
            <w:pPr>
              <w:keepNext w:val="0"/>
              <w:keepLines w:val="0"/>
              <w:widowControl w:val="0"/>
              <w:suppressLineNumbers w:val="0"/>
              <w:spacing w:before="120" w:beforeAutospacing="0" w:after="120" w:afterAutospacing="0" w:line="288" w:lineRule="auto"/>
              <w:ind w:left="0" w:right="0"/>
              <w:jc w:val="both"/>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沙特</w:t>
            </w:r>
          </w:p>
        </w:tc>
        <w:tc>
          <w:tcPr>
            <w:tcW w:w="2565" w:type="dxa"/>
            <w:shd w:val="clear" w:color="auto" w:fill="auto"/>
            <w:tcMar>
              <w:top w:w="60" w:type="dxa"/>
              <w:left w:w="120" w:type="dxa"/>
              <w:bottom w:w="30" w:type="dxa"/>
              <w:right w:w="120" w:type="dxa"/>
            </w:tcMar>
            <w:vAlign w:val="center"/>
          </w:tcPr>
          <w:p>
            <w:pPr>
              <w:keepNext w:val="0"/>
              <w:keepLines w:val="0"/>
              <w:widowControl w:val="0"/>
              <w:suppressLineNumbers w:val="0"/>
              <w:spacing w:before="120" w:beforeAutospacing="0" w:after="120" w:afterAutospacing="0" w:line="288" w:lineRule="auto"/>
              <w:ind w:left="0" w:right="0"/>
              <w:jc w:val="both"/>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沙特等共 27 个国家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145" w:type="dxa"/>
            <w:shd w:val="clear" w:color="auto" w:fill="auto"/>
            <w:tcMar>
              <w:top w:w="60" w:type="dxa"/>
              <w:left w:w="120" w:type="dxa"/>
              <w:bottom w:w="30" w:type="dxa"/>
              <w:right w:w="120" w:type="dxa"/>
            </w:tcMar>
            <w:vAlign w:val="center"/>
          </w:tcPr>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2013</w:t>
            </w:r>
          </w:p>
        </w:tc>
        <w:tc>
          <w:tcPr>
            <w:tcW w:w="1965" w:type="dxa"/>
            <w:shd w:val="clear" w:color="auto" w:fill="auto"/>
            <w:tcMar>
              <w:top w:w="60" w:type="dxa"/>
              <w:left w:w="120" w:type="dxa"/>
              <w:bottom w:w="30" w:type="dxa"/>
              <w:right w:w="120" w:type="dxa"/>
            </w:tcMar>
            <w:vAlign w:val="center"/>
          </w:tcPr>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人感染H7N9禽流感</w:t>
            </w:r>
          </w:p>
        </w:tc>
        <w:tc>
          <w:tcPr>
            <w:tcW w:w="1620" w:type="dxa"/>
            <w:shd w:val="clear" w:color="auto" w:fill="auto"/>
            <w:tcMar>
              <w:top w:w="60" w:type="dxa"/>
              <w:left w:w="120" w:type="dxa"/>
              <w:bottom w:w="30" w:type="dxa"/>
              <w:right w:w="120" w:type="dxa"/>
            </w:tcMar>
            <w:vAlign w:val="center"/>
          </w:tcPr>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我国</w:t>
            </w:r>
          </w:p>
        </w:tc>
        <w:tc>
          <w:tcPr>
            <w:tcW w:w="2565" w:type="dxa"/>
            <w:shd w:val="clear" w:color="auto" w:fill="auto"/>
            <w:tcMar>
              <w:top w:w="60" w:type="dxa"/>
              <w:left w:w="120" w:type="dxa"/>
              <w:bottom w:w="30" w:type="dxa"/>
              <w:right w:w="120" w:type="dxa"/>
            </w:tcMar>
            <w:vAlign w:val="center"/>
          </w:tcPr>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中国及东南亚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145" w:type="dxa"/>
            <w:shd w:val="clear" w:color="auto" w:fill="auto"/>
            <w:tcMar>
              <w:top w:w="60" w:type="dxa"/>
              <w:left w:w="120" w:type="dxa"/>
              <w:bottom w:w="30" w:type="dxa"/>
              <w:right w:w="120" w:type="dxa"/>
            </w:tcMar>
            <w:vAlign w:val="center"/>
          </w:tcPr>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2014-2016</w:t>
            </w:r>
          </w:p>
        </w:tc>
        <w:tc>
          <w:tcPr>
            <w:tcW w:w="1965" w:type="dxa"/>
            <w:shd w:val="clear" w:color="auto" w:fill="auto"/>
            <w:tcMar>
              <w:top w:w="60" w:type="dxa"/>
              <w:left w:w="120" w:type="dxa"/>
              <w:bottom w:w="30" w:type="dxa"/>
              <w:right w:w="120" w:type="dxa"/>
            </w:tcMar>
            <w:vAlign w:val="center"/>
          </w:tcPr>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埃博拉出血热</w:t>
            </w:r>
          </w:p>
        </w:tc>
        <w:tc>
          <w:tcPr>
            <w:tcW w:w="1620" w:type="dxa"/>
            <w:shd w:val="clear" w:color="auto" w:fill="auto"/>
            <w:tcMar>
              <w:top w:w="60" w:type="dxa"/>
              <w:left w:w="120" w:type="dxa"/>
              <w:bottom w:w="30" w:type="dxa"/>
              <w:right w:w="120" w:type="dxa"/>
            </w:tcMar>
            <w:vAlign w:val="center"/>
          </w:tcPr>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几内亚</w:t>
            </w:r>
          </w:p>
        </w:tc>
        <w:tc>
          <w:tcPr>
            <w:tcW w:w="2565" w:type="dxa"/>
            <w:shd w:val="clear" w:color="auto" w:fill="auto"/>
            <w:tcMar>
              <w:top w:w="60" w:type="dxa"/>
              <w:left w:w="120" w:type="dxa"/>
              <w:bottom w:w="30" w:type="dxa"/>
              <w:right w:w="120" w:type="dxa"/>
            </w:tcMar>
            <w:vAlign w:val="center"/>
          </w:tcPr>
          <w:p>
            <w:pPr>
              <w:keepNext w:val="0"/>
              <w:keepLines w:val="0"/>
              <w:widowControl w:val="0"/>
              <w:suppressLineNumbers w:val="0"/>
              <w:spacing w:before="120" w:beforeAutospacing="0" w:after="120" w:afterAutospacing="0" w:line="288" w:lineRule="auto"/>
              <w:ind w:left="0" w:right="0" w:firstLine="840" w:firstLineChars="40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西非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145" w:type="dxa"/>
            <w:shd w:val="clear" w:color="auto" w:fill="auto"/>
            <w:tcMar>
              <w:top w:w="60" w:type="dxa"/>
              <w:left w:w="120" w:type="dxa"/>
              <w:bottom w:w="30" w:type="dxa"/>
              <w:right w:w="120" w:type="dxa"/>
            </w:tcMar>
            <w:vAlign w:val="center"/>
          </w:tcPr>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2015</w:t>
            </w:r>
          </w:p>
        </w:tc>
        <w:tc>
          <w:tcPr>
            <w:tcW w:w="1965" w:type="dxa"/>
            <w:shd w:val="clear" w:color="auto" w:fill="auto"/>
            <w:tcMar>
              <w:top w:w="60" w:type="dxa"/>
              <w:left w:w="120" w:type="dxa"/>
              <w:bottom w:w="30" w:type="dxa"/>
              <w:right w:w="120" w:type="dxa"/>
            </w:tcMar>
            <w:vAlign w:val="center"/>
          </w:tcPr>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塞卡病毒感染</w:t>
            </w:r>
          </w:p>
        </w:tc>
        <w:tc>
          <w:tcPr>
            <w:tcW w:w="1620" w:type="dxa"/>
            <w:shd w:val="clear" w:color="auto" w:fill="auto"/>
            <w:tcMar>
              <w:top w:w="60" w:type="dxa"/>
              <w:left w:w="120" w:type="dxa"/>
              <w:bottom w:w="30" w:type="dxa"/>
              <w:right w:w="120" w:type="dxa"/>
            </w:tcMar>
            <w:vAlign w:val="center"/>
          </w:tcPr>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巴西</w:t>
            </w:r>
          </w:p>
        </w:tc>
        <w:tc>
          <w:tcPr>
            <w:tcW w:w="2565" w:type="dxa"/>
            <w:shd w:val="clear" w:color="auto" w:fill="auto"/>
            <w:tcMar>
              <w:top w:w="60" w:type="dxa"/>
              <w:left w:w="120" w:type="dxa"/>
              <w:bottom w:w="30" w:type="dxa"/>
              <w:right w:w="120" w:type="dxa"/>
            </w:tcMar>
            <w:vAlign w:val="center"/>
          </w:tcPr>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南美洲、北美洲、欧洲、亚洲、大洋洲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145" w:type="dxa"/>
            <w:shd w:val="clear" w:color="auto" w:fill="auto"/>
            <w:tcMar>
              <w:top w:w="60" w:type="dxa"/>
              <w:left w:w="120" w:type="dxa"/>
              <w:bottom w:w="30" w:type="dxa"/>
              <w:right w:w="120" w:type="dxa"/>
            </w:tcMar>
            <w:vAlign w:val="center"/>
          </w:tcPr>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2019</w:t>
            </w:r>
          </w:p>
        </w:tc>
        <w:tc>
          <w:tcPr>
            <w:tcW w:w="1965" w:type="dxa"/>
            <w:shd w:val="clear" w:color="auto" w:fill="auto"/>
            <w:tcMar>
              <w:top w:w="60" w:type="dxa"/>
              <w:left w:w="120" w:type="dxa"/>
              <w:bottom w:w="30" w:type="dxa"/>
              <w:right w:w="120" w:type="dxa"/>
            </w:tcMar>
            <w:vAlign w:val="center"/>
          </w:tcPr>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新型冠状病毒肺炎</w:t>
            </w:r>
          </w:p>
        </w:tc>
        <w:tc>
          <w:tcPr>
            <w:tcW w:w="1620" w:type="dxa"/>
            <w:shd w:val="clear" w:color="auto" w:fill="auto"/>
            <w:tcMar>
              <w:top w:w="60" w:type="dxa"/>
              <w:left w:w="120" w:type="dxa"/>
              <w:bottom w:w="30" w:type="dxa"/>
              <w:right w:w="120" w:type="dxa"/>
            </w:tcMar>
            <w:vAlign w:val="center"/>
          </w:tcPr>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我国武汉</w:t>
            </w:r>
          </w:p>
        </w:tc>
        <w:tc>
          <w:tcPr>
            <w:tcW w:w="2565" w:type="dxa"/>
            <w:shd w:val="clear" w:color="auto" w:fill="auto"/>
            <w:tcMar>
              <w:top w:w="60" w:type="dxa"/>
              <w:left w:w="120" w:type="dxa"/>
              <w:bottom w:w="30" w:type="dxa"/>
              <w:right w:w="120" w:type="dxa"/>
            </w:tcMar>
            <w:vAlign w:val="center"/>
          </w:tcPr>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全球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145" w:type="dxa"/>
            <w:shd w:val="clear" w:color="auto" w:fill="auto"/>
            <w:tcMar>
              <w:top w:w="60" w:type="dxa"/>
              <w:left w:w="120" w:type="dxa"/>
              <w:bottom w:w="30" w:type="dxa"/>
              <w:right w:w="120" w:type="dxa"/>
            </w:tcMar>
            <w:vAlign w:val="center"/>
          </w:tcPr>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2022</w:t>
            </w:r>
          </w:p>
        </w:tc>
        <w:tc>
          <w:tcPr>
            <w:tcW w:w="1965" w:type="dxa"/>
            <w:shd w:val="clear" w:color="auto" w:fill="auto"/>
            <w:tcMar>
              <w:top w:w="60" w:type="dxa"/>
              <w:left w:w="120" w:type="dxa"/>
              <w:bottom w:w="30" w:type="dxa"/>
              <w:right w:w="120" w:type="dxa"/>
            </w:tcMar>
            <w:vAlign w:val="center"/>
          </w:tcPr>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猴痘</w:t>
            </w:r>
          </w:p>
        </w:tc>
        <w:tc>
          <w:tcPr>
            <w:tcW w:w="1620" w:type="dxa"/>
            <w:shd w:val="clear" w:color="auto" w:fill="auto"/>
            <w:tcMar>
              <w:top w:w="60" w:type="dxa"/>
              <w:left w:w="120" w:type="dxa"/>
              <w:bottom w:w="30" w:type="dxa"/>
              <w:right w:w="120" w:type="dxa"/>
            </w:tcMar>
            <w:vAlign w:val="center"/>
          </w:tcPr>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英国</w:t>
            </w:r>
          </w:p>
        </w:tc>
        <w:tc>
          <w:tcPr>
            <w:tcW w:w="2565" w:type="dxa"/>
            <w:shd w:val="clear" w:color="auto" w:fill="auto"/>
            <w:tcMar>
              <w:top w:w="60" w:type="dxa"/>
              <w:left w:w="120" w:type="dxa"/>
              <w:bottom w:w="30" w:type="dxa"/>
              <w:right w:w="120" w:type="dxa"/>
            </w:tcMar>
            <w:vAlign w:val="center"/>
          </w:tcPr>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波及 103 个国家和地区</w:t>
            </w:r>
          </w:p>
        </w:tc>
      </w:tr>
    </w:tbl>
    <w:p>
      <w:pPr>
        <w:bidi w:val="0"/>
        <w:jc w:val="left"/>
        <w:rPr>
          <w:rFonts w:hint="eastAsia"/>
          <w:sz w:val="21"/>
          <w:szCs w:val="21"/>
          <w:lang w:val="en-US" w:eastAsia="zh-CN"/>
        </w:rPr>
      </w:pPr>
    </w:p>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p>
    <w:p>
      <w:pPr>
        <w:bidi w:val="0"/>
        <w:rPr>
          <w:rFonts w:hint="eastAsia"/>
          <w:sz w:val="21"/>
          <w:szCs w:val="21"/>
          <w:lang w:val="en-US" w:eastAsia="zh-CN"/>
        </w:rPr>
      </w:pPr>
    </w:p>
    <w:p>
      <w:pPr>
        <w:bidi w:val="0"/>
        <w:rPr>
          <w:rFonts w:hint="eastAsia"/>
          <w:sz w:val="21"/>
          <w:szCs w:val="21"/>
          <w:lang w:val="en-US" w:eastAsia="zh-CN"/>
        </w:rPr>
      </w:pPr>
    </w:p>
    <w:p>
      <w:pPr>
        <w:bidi w:val="0"/>
        <w:rPr>
          <w:rFonts w:hint="eastAsia"/>
          <w:sz w:val="21"/>
          <w:szCs w:val="21"/>
          <w:lang w:val="en-US" w:eastAsia="zh-CN"/>
        </w:rPr>
      </w:pPr>
    </w:p>
    <w:p>
      <w:pPr>
        <w:bidi w:val="0"/>
        <w:rPr>
          <w:rFonts w:hint="eastAsia"/>
          <w:sz w:val="21"/>
          <w:szCs w:val="21"/>
          <w:lang w:val="en-US" w:eastAsia="zh-CN"/>
        </w:rPr>
      </w:pPr>
    </w:p>
    <w:p>
      <w:pPr>
        <w:bidi w:val="0"/>
        <w:rPr>
          <w:rFonts w:hint="eastAsia"/>
          <w:sz w:val="21"/>
          <w:szCs w:val="21"/>
          <w:lang w:val="en-US" w:eastAsia="zh-CN"/>
        </w:rPr>
      </w:pPr>
    </w:p>
    <w:p>
      <w:pPr>
        <w:bidi w:val="0"/>
        <w:rPr>
          <w:rFonts w:hint="eastAsia"/>
          <w:sz w:val="21"/>
          <w:szCs w:val="21"/>
          <w:lang w:val="en-US" w:eastAsia="zh-CN"/>
        </w:rPr>
      </w:pPr>
    </w:p>
    <w:p>
      <w:pPr>
        <w:bidi w:val="0"/>
        <w:rPr>
          <w:rFonts w:hint="eastAsia"/>
          <w:sz w:val="21"/>
          <w:szCs w:val="21"/>
          <w:lang w:val="en-US" w:eastAsia="zh-CN"/>
        </w:rPr>
      </w:pPr>
    </w:p>
    <w:p>
      <w:pPr>
        <w:bidi w:val="0"/>
        <w:rPr>
          <w:rFonts w:hint="eastAsia"/>
          <w:sz w:val="21"/>
          <w:szCs w:val="21"/>
          <w:lang w:val="en-US" w:eastAsia="zh-CN"/>
        </w:rPr>
      </w:pPr>
    </w:p>
    <w:p>
      <w:pPr>
        <w:bidi w:val="0"/>
        <w:rPr>
          <w:rFonts w:hint="eastAsia"/>
        </w:rPr>
      </w:pPr>
      <w:r>
        <w:rPr>
          <w:rFonts w:hint="eastAsia"/>
          <w:lang w:val="en-US" w:eastAsia="zh-CN"/>
        </w:rPr>
        <w:t>当前在城市中的防控形势更趋复杂：变异株突破性传播、人群流动性提升（超大城市日均千万级公共交通客流）与聚集性场景脆弱性（学校教室密闭空间日均接触超8小时）形成叠加效应。以上海为例，截至2025年1月，上海地区流感活动强度明显增强，已进入高发期。监测数据显示，目前上海流感病毒阳性率持续上升，其中99%以上为甲型H1N1流感。现代城市的高密度人口结构和社会化网络，使流行病突破地域与季节限制，演变为需持续性监测、精准化干预的系统性日常风险。在这一严峻现实背景下，如何平衡常态化防控与良好社会经济运行，已成为公共卫生治理的核心命题。</w:t>
      </w:r>
    </w:p>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 xml:space="preserve"> </w:t>
      </w:r>
    </w:p>
    <w:p>
      <w:pPr>
        <w:pStyle w:val="3"/>
        <w:bidi w:val="0"/>
        <w:rPr>
          <w:rFonts w:hint="eastAsia"/>
          <w:sz w:val="21"/>
          <w:szCs w:val="21"/>
        </w:rPr>
      </w:pPr>
      <w:bookmarkStart w:id="13" w:name="_Toc13089"/>
      <w:r>
        <w:rPr>
          <w:rFonts w:hint="eastAsia"/>
          <w:sz w:val="21"/>
          <w:szCs w:val="21"/>
          <w:lang w:val="en-US" w:eastAsia="zh-CN"/>
        </w:rPr>
        <w:t>政策背景</w:t>
      </w:r>
      <w:bookmarkEnd w:id="13"/>
    </w:p>
    <w:p>
      <w:pPr>
        <w:bidi w:val="0"/>
        <w:rPr>
          <w:rFonts w:hint="eastAsia"/>
          <w:sz w:val="21"/>
          <w:szCs w:val="21"/>
        </w:rPr>
      </w:pPr>
      <w:r>
        <w:rPr>
          <w:rFonts w:hint="eastAsia"/>
          <w:sz w:val="21"/>
          <w:szCs w:val="21"/>
          <w:lang w:val="en-US" w:eastAsia="zh-CN"/>
        </w:rPr>
        <w:t>医疗卫生事业是保障人民健康的重要领域，我国持续推动医疗卫生服务体系的完善和公共卫生能力的增强。通过加强基础设施建设、提升医疗服务质量、扩大医疗保障覆盖面以及强化疾病预防和控制，政府致力于构建一个全面、高效、可持续的医疗卫生体系。在面对全球传染病频发多发的环境，中国始终坚持预防为主、防治结合的方针，近年来来不断加强传染病等疾病预防控制力度，不断提高公共卫生服务的可及性，切实提升突发公共卫生事件应急能力，有力保障人民群众生命健康，稳步增加在公共卫生资源建设上的投入。2024年5月 14日，国家财政部同时发布了《2024年医疗服务与保障能力提升(医疗卫生机构能力建设)补助资金预算的通知》和《2024年医疗服务与保障能力提升(公立医院综合改革)补助资金预算的通知》,两项补助资金合计为 149.9 亿元，而其中用于公立医院改革与高质量发展示范项目资金支持提升明显。</w:t>
      </w:r>
    </w:p>
    <w:p>
      <w:pPr>
        <w:keepNext w:val="0"/>
        <w:keepLines w:val="0"/>
        <w:widowControl w:val="0"/>
        <w:suppressLineNumbers w:val="0"/>
        <w:spacing w:before="120" w:beforeAutospacing="0" w:after="120" w:afterAutospacing="0" w:line="288" w:lineRule="auto"/>
        <w:ind w:left="0" w:right="0"/>
        <w:jc w:val="center"/>
        <w:rPr>
          <w:rFonts w:hint="eastAsia" w:ascii="仿宋_GB2312" w:eastAsia="仿宋_GB2312" w:cs="仿宋_GB2312"/>
          <w:color w:val="auto"/>
          <w:sz w:val="21"/>
          <w:szCs w:val="21"/>
        </w:rPr>
      </w:pPr>
      <w:r>
        <w:rPr>
          <w:rFonts w:hint="default" w:ascii="Times New Roman" w:hAnsi="Times New Roman" w:eastAsia="宋体" w:cs="Times New Roman"/>
          <w:color w:val="auto"/>
          <w:kern w:val="0"/>
          <w:sz w:val="21"/>
          <w:szCs w:val="21"/>
          <w:lang w:val="en-US" w:eastAsia="zh-CN" w:bidi="ar"/>
        </w:rPr>
        <w:drawing>
          <wp:inline distT="0" distB="0" distL="114300" distR="114300">
            <wp:extent cx="5257800" cy="3152775"/>
            <wp:effectExtent l="0" t="0" r="0" b="9525"/>
            <wp:docPr id="10"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descr="IMG_256"/>
                    <pic:cNvPicPr>
                      <a:picLocks noChangeAspect="1"/>
                    </pic:cNvPicPr>
                  </pic:nvPicPr>
                  <pic:blipFill>
                    <a:blip r:embed="rId8"/>
                    <a:stretch>
                      <a:fillRect/>
                    </a:stretch>
                  </pic:blipFill>
                  <pic:spPr>
                    <a:xfrm>
                      <a:off x="0" y="0"/>
                      <a:ext cx="5257800" cy="3152775"/>
                    </a:xfrm>
                    <a:prstGeom prst="rect">
                      <a:avLst/>
                    </a:prstGeom>
                    <a:noFill/>
                    <a:ln w="9525">
                      <a:noFill/>
                    </a:ln>
                  </pic:spPr>
                </pic:pic>
              </a:graphicData>
            </a:graphic>
          </wp:inline>
        </w:drawing>
      </w:r>
      <w:r>
        <w:rPr>
          <w:rFonts w:hint="eastAsia" w:ascii="仿宋_GB2312" w:hAnsi="Times New Roman" w:eastAsia="仿宋_GB2312" w:cs="仿宋_GB2312"/>
          <w:color w:val="auto"/>
          <w:kern w:val="0"/>
          <w:sz w:val="21"/>
          <w:szCs w:val="21"/>
          <w:lang w:val="en-US" w:eastAsia="zh-CN" w:bidi="ar"/>
        </w:rPr>
        <w:t xml:space="preserve"> </w:t>
      </w:r>
    </w:p>
    <w:p>
      <w:pPr>
        <w:keepNext w:val="0"/>
        <w:keepLines w:val="0"/>
        <w:widowControl w:val="0"/>
        <w:suppressLineNumbers w:val="0"/>
        <w:spacing w:before="120" w:beforeAutospacing="0" w:after="120" w:afterAutospacing="0" w:line="288" w:lineRule="auto"/>
        <w:ind w:left="0" w:right="0"/>
        <w:jc w:val="center"/>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2021-2024年国内医疗卫生机构能力建设补助资金</w:t>
      </w:r>
    </w:p>
    <w:p>
      <w:pPr>
        <w:bidi w:val="0"/>
        <w:rPr>
          <w:rFonts w:hint="eastAsia"/>
          <w:sz w:val="21"/>
          <w:szCs w:val="21"/>
        </w:rPr>
      </w:pPr>
      <w:r>
        <w:rPr>
          <w:rFonts w:hint="eastAsia"/>
          <w:sz w:val="21"/>
          <w:szCs w:val="21"/>
          <w:lang w:val="en-US" w:eastAsia="zh-CN"/>
        </w:rPr>
        <w:t>流行病学调查是社会传染病防控体系中的关键环节，专业人员通过快速、准确追踪病例活动轨迹、确定传播链、排查密切接触者以及迅速划定风险区域和人群，为疫情的早期发现、精准防控和科学决策提供重要依据。流调不仅是应对突发疫情的应急手段，更是推动公共卫生体系从“被动应对”向“主动防控”转型的核心抓手。近年来，人工智能技术的快速迭代与公共卫生领域数字化转型的深度融合，催生了流行病学调查模式的根本性变革。在新冠疫情防控实践中，传统流调手段的效率瓶颈与数据割裂问题凸显，促使智能化流调技术加速渗透至传染病防控体系的核心环节。</w:t>
      </w:r>
    </w:p>
    <w:p>
      <w:pPr>
        <w:keepNext w:val="0"/>
        <w:keepLines w:val="0"/>
        <w:widowControl w:val="0"/>
        <w:suppressLineNumbers w:val="0"/>
        <w:spacing w:before="120" w:beforeAutospacing="0" w:after="120" w:afterAutospacing="0" w:line="288" w:lineRule="auto"/>
        <w:ind w:left="0" w:right="0" w:firstLine="42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在此背景下，我国政府出台了一系列政策以推动疾病预防控制事业的高质量发展与智能化转型。《“十四五”规划和2035年远景目标纲要》中提出全面推进医疗信息化建设，积极推进医院信息化、公共卫生信息化、医疗保障信息化、新兴技术应用和监管等方面的建设。自2020年起逐步构建起以数据互联与AI赋能为双驱动的政策框架，医疗信息化建设速度加快，医院信息化管理系统、区域医疗信息互联互通等逐步得到完善。</w:t>
      </w:r>
    </w:p>
    <w:p>
      <w:pPr>
        <w:keepNext w:val="0"/>
        <w:keepLines w:val="0"/>
        <w:widowControl w:val="0"/>
        <w:suppressLineNumbers w:val="0"/>
        <w:spacing w:before="120" w:beforeAutospacing="0" w:after="120" w:afterAutospacing="0" w:line="288" w:lineRule="auto"/>
        <w:ind w:left="0" w:right="0" w:firstLine="42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2023年12月25日，国务院办公厅发布的《关于推动疾病预防控制事业高质量发展的指导意见》中强调加强信息化支撑保障，完善传染病智慧化多点触发监测预警与应急指挥机制，推动医疗机构信息系统与传染病监测系统数据交换，建立健全数据自动获取机制，并利用大数据、云计算等技术提高数据集成、风险识别、智能分析和及时预警能力。</w:t>
      </w:r>
    </w:p>
    <w:p>
      <w:pPr>
        <w:keepNext w:val="0"/>
        <w:keepLines w:val="0"/>
        <w:widowControl w:val="0"/>
        <w:suppressLineNumbers w:val="0"/>
        <w:spacing w:before="120" w:beforeAutospacing="0" w:after="120" w:afterAutospacing="0" w:line="288" w:lineRule="auto"/>
        <w:ind w:left="0" w:right="0" w:firstLine="42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 xml:space="preserve">《全国疾病预防控制行动方案（2024—2025年）》提出加强疾控信息化建设，加快实施传染病监测预警与应急指挥能力提升项目，推进省统筹区域传染病监测预警与应急指挥信息平台建设，加快编制疾控信息相关标准，促进平台互联互通，二级及以上医疗机构部署实施国家传染病智能监测预警前置软件，推动建立医防协同数据共享新模式。        </w:t>
      </w:r>
    </w:p>
    <w:p>
      <w:pPr>
        <w:keepNext w:val="0"/>
        <w:keepLines w:val="0"/>
        <w:widowControl w:val="0"/>
        <w:suppressLineNumbers w:val="0"/>
        <w:spacing w:before="120" w:beforeAutospacing="0" w:after="120" w:afterAutospacing="0" w:line="288" w:lineRule="auto"/>
        <w:ind w:left="0" w:right="0" w:firstLine="42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2024年8月23日，国家疾控局等部门发布的《关于建立健全智慧化多点触发传染病监测预警体系的指导意见》中提到加强平台顶层设计，依托已有系统和网络基础，建设国家级、省统筹区域传染病监测预警与应急指挥信息平台，推动医疗卫生机构安装应用国家传染病智能监测预警前置软件，实现信息系统与疾控机构传染病监测信息系统数据有效对接，建立传染病疫情相关数据库。加强多渠道监测信息汇集、数据治理和时空聚集性分析应用，提高数据自动采集、实时处理和多维度展示能力，提升预警预测能力，提升新发突发传染病、群体性不明原因疾病、重点传染病监测预警的灵敏性、准确性，实现多点触发、快速反应、科学处置。</w:t>
      </w:r>
    </w:p>
    <w:p>
      <w:pPr>
        <w:keepNext w:val="0"/>
        <w:keepLines w:val="0"/>
        <w:widowControl w:val="0"/>
        <w:suppressLineNumbers w:val="0"/>
        <w:spacing w:before="120" w:beforeAutospacing="0" w:after="120" w:afterAutospacing="0" w:line="288" w:lineRule="auto"/>
        <w:ind w:left="0" w:right="0" w:firstLine="42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这些政策体现了政府对提升传染病监测、预警和应急响应能力的高度重视。旨在通过智能化手段提升传染病的监测、预警和应急响应能力，为疾病预防控制事业的高质量发展提供有力支撑，利用信息化、智慧化手段加强公共卫生体系建设，实现从被动应对向掌握疫情防控主动权的转变。</w:t>
      </w:r>
    </w:p>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 xml:space="preserve"> </w:t>
      </w:r>
    </w:p>
    <w:p>
      <w:pPr>
        <w:pStyle w:val="3"/>
        <w:bidi w:val="0"/>
        <w:rPr>
          <w:rFonts w:hint="eastAsia"/>
          <w:sz w:val="21"/>
          <w:szCs w:val="21"/>
        </w:rPr>
      </w:pPr>
      <w:bookmarkStart w:id="14" w:name="_Toc8669"/>
      <w:bookmarkStart w:id="15" w:name="heading_31"/>
      <w:r>
        <w:rPr>
          <w:rFonts w:hint="eastAsia"/>
          <w:sz w:val="21"/>
          <w:szCs w:val="21"/>
          <w:lang w:val="en-US" w:eastAsia="zh-CN"/>
        </w:rPr>
        <w:t>竞争格局</w:t>
      </w:r>
      <w:bookmarkEnd w:id="14"/>
      <w:bookmarkEnd w:id="15"/>
    </w:p>
    <w:p>
      <w:pPr>
        <w:pStyle w:val="4"/>
        <w:bidi w:val="0"/>
        <w:rPr>
          <w:rFonts w:hint="eastAsia"/>
          <w:sz w:val="21"/>
          <w:szCs w:val="21"/>
        </w:rPr>
      </w:pPr>
      <w:bookmarkStart w:id="16" w:name="_Toc20580"/>
      <w:r>
        <w:rPr>
          <w:rFonts w:hint="eastAsia"/>
          <w:sz w:val="21"/>
          <w:szCs w:val="21"/>
          <w:lang w:val="en-US" w:eastAsia="zh-CN"/>
        </w:rPr>
        <w:t>智慧医疗行业分析</w:t>
      </w:r>
      <w:bookmarkEnd w:id="16"/>
    </w:p>
    <w:p>
      <w:pPr>
        <w:keepNext w:val="0"/>
        <w:keepLines w:val="0"/>
        <w:widowControl w:val="0"/>
        <w:suppressLineNumbers w:val="0"/>
        <w:spacing w:before="120" w:beforeAutospacing="0" w:after="120" w:afterAutospacing="0" w:line="288" w:lineRule="auto"/>
        <w:ind w:left="0" w:right="0" w:firstLine="42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智能流调作为智慧医疗的重要组成部分，其发展现状与智慧医疗行业的整体趋势密切相关。我国虽医疗行业市场规模庞大，但传统医疗业务IT渗透率较低，智慧医疗行业未来发展前景较大。智慧医疗按照服务对象与目标可划分为个体健康服务与公共卫生服务。前者是个人用户的健康管理，个性化治疗方案推荐，慢病管理等，后者则是面向社会的流行病检测预警，应急响应，群体健康数据分析。</w:t>
      </w:r>
    </w:p>
    <w:p>
      <w:pPr>
        <w:keepNext w:val="0"/>
        <w:keepLines w:val="0"/>
        <w:widowControl w:val="0"/>
        <w:suppressLineNumbers w:val="0"/>
        <w:spacing w:before="120" w:beforeAutospacing="0" w:after="120" w:afterAutospacing="0" w:line="288" w:lineRule="auto"/>
        <w:ind w:left="453" w:right="0"/>
        <w:jc w:val="center"/>
        <w:rPr>
          <w:rFonts w:hint="eastAsia" w:ascii="仿宋_GB2312" w:eastAsia="仿宋_GB2312" w:cs="仿宋_GB2312"/>
          <w:color w:val="auto"/>
          <w:sz w:val="21"/>
          <w:szCs w:val="21"/>
        </w:rPr>
      </w:pPr>
      <w:r>
        <w:rPr>
          <w:rFonts w:hint="default" w:ascii="Times New Roman" w:hAnsi="Times New Roman" w:eastAsia="宋体" w:cs="Times New Roman"/>
          <w:color w:val="auto"/>
          <w:kern w:val="0"/>
          <w:sz w:val="21"/>
          <w:szCs w:val="21"/>
          <w:lang w:val="en-US" w:eastAsia="zh-CN" w:bidi="ar"/>
        </w:rPr>
        <w:drawing>
          <wp:inline distT="0" distB="0" distL="114300" distR="114300">
            <wp:extent cx="3695700" cy="2219325"/>
            <wp:effectExtent l="0" t="0" r="0" b="3175"/>
            <wp:docPr id="1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descr="IMG_257"/>
                    <pic:cNvPicPr>
                      <a:picLocks noChangeAspect="1"/>
                    </pic:cNvPicPr>
                  </pic:nvPicPr>
                  <pic:blipFill>
                    <a:blip r:embed="rId9"/>
                    <a:stretch>
                      <a:fillRect/>
                    </a:stretch>
                  </pic:blipFill>
                  <pic:spPr>
                    <a:xfrm>
                      <a:off x="0" y="0"/>
                      <a:ext cx="3695700" cy="2219325"/>
                    </a:xfrm>
                    <a:prstGeom prst="rect">
                      <a:avLst/>
                    </a:prstGeom>
                    <a:noFill/>
                    <a:ln w="9525">
                      <a:noFill/>
                    </a:ln>
                  </pic:spPr>
                </pic:pic>
              </a:graphicData>
            </a:graphic>
          </wp:inline>
        </w:drawing>
      </w:r>
      <w:r>
        <w:rPr>
          <w:rFonts w:hint="eastAsia" w:ascii="仿宋_GB2312" w:hAnsi="Times New Roman" w:eastAsia="仿宋_GB2312" w:cs="仿宋_GB2312"/>
          <w:color w:val="auto"/>
          <w:kern w:val="0"/>
          <w:sz w:val="21"/>
          <w:szCs w:val="21"/>
          <w:lang w:val="en-US" w:eastAsia="zh-CN" w:bidi="ar"/>
        </w:rPr>
        <w:t xml:space="preserve"> </w:t>
      </w:r>
    </w:p>
    <w:p>
      <w:pPr>
        <w:keepNext w:val="0"/>
        <w:keepLines w:val="0"/>
        <w:widowControl w:val="0"/>
        <w:suppressLineNumbers w:val="0"/>
        <w:spacing w:before="120" w:beforeAutospacing="0" w:after="120" w:afterAutospacing="0" w:line="288" w:lineRule="auto"/>
        <w:ind w:left="0" w:right="0"/>
        <w:jc w:val="center"/>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2019-2024中国智慧医疗市场规模预测趋势图</w:t>
      </w:r>
    </w:p>
    <w:p>
      <w:pPr>
        <w:keepNext w:val="0"/>
        <w:keepLines w:val="0"/>
        <w:widowControl w:val="0"/>
        <w:suppressLineNumbers w:val="0"/>
        <w:spacing w:before="120" w:beforeAutospacing="0" w:after="120" w:afterAutospacing="0" w:line="288" w:lineRule="auto"/>
        <w:ind w:left="0" w:right="0" w:firstLine="42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在技术进步和政策支持的双重推动下，中国智慧医疗市场规模将持续扩大并不断加速发展，其投融资活动也呈现出显著的活跃态势。根据数据显示，2019年至2022年期间，智慧医疗市场规模从11.4亿元增长至36.4亿元，复合年增长率达到47.3%。2022年，智慧医疗应用规模约为780.5亿元，预计到2023年将增至936.6亿元。在投融资领域，2021年医疗卫生信息化行业的投融资案例总数达363起，投资金额达到1487.52亿元，创下近年最高纪录。</w:t>
      </w:r>
    </w:p>
    <w:p>
      <w:pPr>
        <w:keepNext w:val="0"/>
        <w:keepLines w:val="0"/>
        <w:widowControl w:val="0"/>
        <w:suppressLineNumbers w:val="0"/>
        <w:spacing w:before="120" w:beforeAutospacing="0" w:after="120" w:afterAutospacing="0" w:line="288" w:lineRule="auto"/>
        <w:ind w:left="0" w:right="0" w:firstLine="500" w:firstLineChars="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随着智慧医疗行业的快速发展，众多大型科技企业通过整合自身资源与技术能力，加速智慧医疗的布局与创新。根据企业的业务特色，国内在智慧医疗领域布局的厂商主要有两种类型：</w:t>
      </w:r>
    </w:p>
    <w:p>
      <w:pPr>
        <w:pStyle w:val="4"/>
        <w:numPr>
          <w:numId w:val="0"/>
        </w:numPr>
        <w:tabs>
          <w:tab w:val="left" w:pos="843"/>
        </w:tabs>
        <w:bidi w:val="0"/>
        <w:ind w:leftChars="0"/>
        <w:outlineLvl w:val="3"/>
        <w:rPr>
          <w:rFonts w:hint="eastAsia"/>
          <w:sz w:val="21"/>
          <w:szCs w:val="21"/>
        </w:rPr>
      </w:pPr>
      <w:r>
        <w:rPr>
          <w:rFonts w:hint="eastAsia" w:ascii="仿宋" w:hAnsi="仿宋" w:eastAsia="仿宋" w:cs="仿宋"/>
          <w:sz w:val="21"/>
          <w:szCs w:val="21"/>
          <w:lang w:val="en-US" w:eastAsia="zh-CN"/>
        </w:rPr>
        <w:t>1.4.1.1</w:t>
      </w:r>
      <w:r>
        <w:rPr>
          <w:rFonts w:hint="eastAsia"/>
          <w:sz w:val="21"/>
          <w:szCs w:val="21"/>
          <w:lang w:val="en-US" w:eastAsia="zh-CN"/>
        </w:rPr>
        <w:t>大型科技企业布局智慧医疗</w:t>
      </w:r>
    </w:p>
    <w:p>
      <w:pPr>
        <w:keepNext w:val="0"/>
        <w:keepLines w:val="0"/>
        <w:widowControl w:val="0"/>
        <w:suppressLineNumbers w:val="0"/>
        <w:spacing w:before="120" w:beforeAutospacing="0" w:after="120" w:afterAutospacing="0" w:line="288" w:lineRule="auto"/>
        <w:ind w:left="0" w:right="0" w:firstLine="42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此类企业依托底层大模型技术构建医疗垂直应用平台，阿里巴巴、腾讯、百度和华为云等科技巨头在医疗AI领域均有所布局。阿里巴巴推出了“阿里健康AI”，应用于医疗影像分析和辅助诊疗。腾讯健康公布了医疗大模型，全新发布智能问答、家庭医生助手、数智医疗影像平台等多场景AI产品矩阵，药物发现平台“云深”（iDrug）披露全新的蛋白质结构预测算法框架tFold。百度发布了“灵医大模型”，定位为“产业级”医疗大模型，面向大健康上下游产业开放测试。华为云则与中国科学院上海药物研究所联合推出了盘古药物分子大模型，实现了针对小分子药物全流程的人工智能辅助药物设计。</w:t>
      </w:r>
    </w:p>
    <w:p>
      <w:pPr>
        <w:pStyle w:val="4"/>
        <w:numPr>
          <w:numId w:val="0"/>
        </w:numPr>
        <w:bidi w:val="0"/>
        <w:ind w:leftChars="0"/>
        <w:outlineLvl w:val="3"/>
        <w:rPr>
          <w:rFonts w:hint="eastAsia"/>
          <w:sz w:val="21"/>
          <w:szCs w:val="21"/>
        </w:rPr>
      </w:pPr>
      <w:r>
        <w:rPr>
          <w:rFonts w:hint="eastAsia" w:ascii="仿宋" w:hAnsi="仿宋" w:eastAsia="仿宋" w:cs="仿宋"/>
          <w:sz w:val="21"/>
          <w:szCs w:val="21"/>
          <w:lang w:val="en-US" w:eastAsia="zh-CN"/>
        </w:rPr>
        <w:t>1.4.1.2</w:t>
      </w:r>
      <w:r>
        <w:rPr>
          <w:rFonts w:hint="eastAsia"/>
          <w:sz w:val="21"/>
          <w:szCs w:val="21"/>
          <w:lang w:val="en-US" w:eastAsia="zh-CN"/>
        </w:rPr>
        <w:t>传统医疗信息化企业转型</w:t>
      </w:r>
    </w:p>
    <w:p>
      <w:pPr>
        <w:keepNext w:val="0"/>
        <w:keepLines w:val="0"/>
        <w:widowControl w:val="0"/>
        <w:suppressLineNumbers w:val="0"/>
        <w:spacing w:before="120" w:beforeAutospacing="0" w:after="120" w:afterAutospacing="0" w:line="288" w:lineRule="auto"/>
        <w:ind w:left="0" w:right="0" w:firstLine="42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专注于智慧医疗的专业企业也在不断创新与突破，如智云健康、卫宁健康和医渡科技等企业作为传统医疗信息化厂商，凭借在特定领域的深厚积累，在医疗数据库上具有显著优势，通过接入自研大模型，构建垂直领域模型或提供数据服务。如医渡科技的“医疗智能大脑Yidu Core经授权处理分析了超过40多亿份医疗记录，沉淀了大量多维度可量化的知识图谱，并不断拓展场景应用，加强和政府机构、疾控中心、三甲医院、海关等的合作。基于自研的数据生成技术，将这些知识图谱应用于大模型训练，并不断迭代核心算法，形成核心技术壁垒。</w:t>
      </w:r>
    </w:p>
    <w:p>
      <w:pPr>
        <w:keepNext w:val="0"/>
        <w:keepLines w:val="0"/>
        <w:widowControl w:val="0"/>
        <w:suppressLineNumbers w:val="0"/>
        <w:spacing w:before="120" w:beforeAutospacing="0" w:after="120" w:afterAutospacing="0" w:line="288" w:lineRule="auto"/>
        <w:ind w:left="0" w:right="0" w:firstLine="42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大型企业与专业化企业的协同发展，不仅加速了智慧医疗技术的落地与普及，也为国家布局的医疗行业的数字化转型提供了强大动力。智慧医疗作为实现医疗资源高效配置的新型智能化产业，未来发展前景广阔。随着人口老龄化问题加剧，对医疗资源平等化的追求，人们健康意识的不断提高，技术的持续创新和应用场景的不断拓展，智慧医疗的市场规模有望持续快速增长。同时，智慧医疗的发展也将带动上下游产业链如医疗设备制造、软件开发和数据分析等领域的协同发展，构建新的经济增长点，中国智慧医疗市场正迎来快速发展的黄金时期。</w:t>
      </w:r>
    </w:p>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 xml:space="preserve"> </w:t>
      </w:r>
    </w:p>
    <w:p>
      <w:pPr>
        <w:pStyle w:val="4"/>
        <w:bidi w:val="0"/>
        <w:rPr>
          <w:rFonts w:hint="eastAsia"/>
          <w:sz w:val="21"/>
          <w:szCs w:val="21"/>
        </w:rPr>
      </w:pPr>
      <w:bookmarkStart w:id="17" w:name="_Toc23564"/>
      <w:r>
        <w:rPr>
          <w:rFonts w:hint="eastAsia"/>
          <w:sz w:val="21"/>
          <w:szCs w:val="21"/>
          <w:lang w:val="en-US" w:eastAsia="zh-CN"/>
        </w:rPr>
        <w:t>竞品分析</w:t>
      </w:r>
      <w:bookmarkEnd w:id="17"/>
    </w:p>
    <w:p>
      <w:pPr>
        <w:keepNext w:val="0"/>
        <w:keepLines w:val="0"/>
        <w:widowControl w:val="0"/>
        <w:suppressLineNumbers w:val="0"/>
        <w:spacing w:before="120" w:beforeAutospacing="0" w:after="120" w:afterAutospacing="0" w:line="288" w:lineRule="auto"/>
        <w:ind w:left="0" w:right="0" w:firstLine="42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当前市场流调产品普遍聚焦于B端公共卫生管理模块，主要实现面向专业管理机构的疫情数据可视化分析、高危区域定位与传染链溯源、防控决策支持系统以及跨机构协同指挥功能。而市面上的主流健康管理系统多聚焦慢性病长期监测如血压、血糖趋势分析，其数据库架构与交互逻辑难以适配发热传染病的急症特性：缺乏针对发热病程的动态体征捕获机制，如热峰波动频率、退热药响应曲线等、未建立症状簇与病原体变异的关联模型，更缺失康复期免疫指标追踪体系，未能够构建起从发热、感染到康复管理，而我们的系统首创B端防疫中枢+C端居民门户的双模系统，在发热门诊场景部署智能交互终端。系统基于情境感知技术自动生成追问逻辑，确保流行病学调查的深度与精度。完成初筛后系统自动转换为个人健康管家，持续采集、监测发热病程关键指标，提供个性化建议，填补了传统方案在疫情后健康监护中的数据断层与响应盲区。</w:t>
      </w:r>
    </w:p>
    <w:p>
      <w:pPr>
        <w:keepNext w:val="0"/>
        <w:keepLines w:val="0"/>
        <w:widowControl w:val="0"/>
        <w:suppressLineNumbers w:val="0"/>
        <w:spacing w:before="120" w:beforeAutospacing="0" w:after="120" w:afterAutospacing="0" w:line="288" w:lineRule="auto"/>
        <w:ind w:left="0" w:right="0" w:firstLine="42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我们的智能流调系统不仅聚焦疫情初期的快速响应，当完成初步流调后，系统会自动开启病株追踪模式——通过分析染病人群的症状特征与特定生化指标组合，实现端侧症状分析与云端病株匹配，实时关联病原体基因测序数据库，利用动态权重算法建立"症状簇-病株变异"的映射模型。例如，当某区域集中出现持续低热、淋巴细胞计数异常下降与味觉障碍的症状组合时，系统会立即启动应急系统：回溯该类患者的时空接触网络，结合病毒基因组测序数据，生成变异毒株传播路径的三维可视化沙盘；比对全球毒株变异库，预测该症状组合对应的潜在变异方向，向疾控部门推送分级预警信号，并为已感染患者生成定制化健康监测方案，如针对心血管影响显著的毒株，持续追踪患者静息心率变异度、心肌酶谱等指标，当检测到偏离基线阈值时，自动触发健康管家介入。而通过长期监测中的数据，我们又可以通过收集的数据反哺系统数据库，如患者康复期的肺功能恢复数据、免疫指标波动等信息，实时回流至分析中枢，与病毒变异趋势交叉验证，而当发现某亚型毒株二次感染率异常升高时，系统自动调整流调问题库，新增针对该毒株潜伏期特征的追问逻辑，指导高危人群精准筛查。</w:t>
      </w:r>
    </w:p>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 xml:space="preserve"> </w:t>
      </w:r>
    </w:p>
    <w:p>
      <w:pPr>
        <w:pStyle w:val="4"/>
        <w:numPr>
          <w:numId w:val="0"/>
        </w:numPr>
        <w:bidi w:val="0"/>
        <w:ind w:leftChars="0"/>
        <w:outlineLvl w:val="3"/>
        <w:rPr>
          <w:rFonts w:hint="eastAsia"/>
          <w:sz w:val="21"/>
          <w:szCs w:val="21"/>
        </w:rPr>
      </w:pPr>
      <w:r>
        <w:rPr>
          <w:rFonts w:hint="eastAsia" w:ascii="仿宋" w:hAnsi="仿宋" w:eastAsia="仿宋" w:cs="仿宋"/>
          <w:sz w:val="21"/>
          <w:szCs w:val="21"/>
          <w:lang w:val="en-US" w:eastAsia="zh-CN"/>
        </w:rPr>
        <w:t>1.4.2.1.</w:t>
      </w:r>
      <w:r>
        <w:rPr>
          <w:rFonts w:hint="eastAsia"/>
          <w:sz w:val="21"/>
          <w:szCs w:val="21"/>
          <w:lang w:val="en-US" w:eastAsia="zh-CN"/>
        </w:rPr>
        <w:t xml:space="preserve"> 智能流调系统对比</w:t>
      </w:r>
    </w:p>
    <w:p>
      <w:pPr>
        <w:bidi w:val="0"/>
        <w:ind w:left="0" w:leftChars="0" w:firstLine="0" w:firstLineChars="0"/>
        <w:rPr>
          <w:rFonts w:hint="eastAsia"/>
          <w:sz w:val="21"/>
          <w:szCs w:val="21"/>
          <w:lang w:val="en-US" w:eastAsia="zh-CN"/>
        </w:rPr>
      </w:pPr>
    </w:p>
    <w:p>
      <w:pPr>
        <w:bidi w:val="0"/>
        <w:ind w:left="2100" w:leftChars="0" w:firstLine="1033" w:firstLineChars="490"/>
        <w:outlineLvl w:val="9"/>
        <w:rPr>
          <w:rFonts w:hint="eastAsia"/>
          <w:b/>
          <w:bCs/>
          <w:sz w:val="21"/>
          <w:szCs w:val="21"/>
        </w:rPr>
      </w:pPr>
      <w:r>
        <w:rPr>
          <w:rFonts w:hint="eastAsia"/>
          <w:b/>
          <w:bCs/>
          <w:sz w:val="21"/>
          <w:szCs w:val="21"/>
          <w:lang w:val="en-US" w:eastAsia="zh-CN"/>
        </w:rPr>
        <w:t>技术架构与核心能力对比</w:t>
      </w:r>
    </w:p>
    <w:tbl>
      <w:tblPr>
        <w:tblStyle w:val="2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95"/>
        <w:gridCol w:w="1912"/>
        <w:gridCol w:w="3812"/>
        <w:gridCol w:w="274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38" w:hRule="atLeast"/>
        </w:trPr>
        <w:tc>
          <w:tcPr>
            <w:tcW w:w="12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21"/>
                <w:szCs w:val="21"/>
              </w:rPr>
            </w:pPr>
            <w:r>
              <w:rPr>
                <w:rFonts w:hint="eastAsia" w:ascii="宋体" w:hAnsi="宋体" w:eastAsia="宋体" w:cs="宋体"/>
                <w:i w:val="0"/>
                <w:iCs w:val="0"/>
                <w:color w:val="auto"/>
                <w:kern w:val="0"/>
                <w:sz w:val="21"/>
                <w:szCs w:val="21"/>
                <w:lang w:val="en-US" w:eastAsia="zh-CN" w:bidi="ar"/>
              </w:rPr>
              <w:t>企业</w:t>
            </w:r>
          </w:p>
        </w:tc>
        <w:tc>
          <w:tcPr>
            <w:tcW w:w="1636" w:type="dxa"/>
            <w:tcBorders>
              <w:top w:val="single" w:color="000000" w:sz="4" w:space="0"/>
              <w:left w:val="nil"/>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21"/>
                <w:szCs w:val="21"/>
              </w:rPr>
            </w:pPr>
            <w:r>
              <w:rPr>
                <w:rFonts w:hint="eastAsia" w:ascii="宋体" w:hAnsi="宋体" w:eastAsia="宋体" w:cs="宋体"/>
                <w:i w:val="0"/>
                <w:iCs w:val="0"/>
                <w:color w:val="auto"/>
                <w:kern w:val="0"/>
                <w:sz w:val="21"/>
                <w:szCs w:val="21"/>
                <w:lang w:val="en-US" w:eastAsia="zh-CN" w:bidi="ar"/>
              </w:rPr>
              <w:t>技术路径</w:t>
            </w:r>
          </w:p>
        </w:tc>
        <w:tc>
          <w:tcPr>
            <w:tcW w:w="3260" w:type="dxa"/>
            <w:tcBorders>
              <w:top w:val="single" w:color="000000" w:sz="4" w:space="0"/>
              <w:left w:val="nil"/>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21"/>
                <w:szCs w:val="21"/>
              </w:rPr>
            </w:pPr>
            <w:r>
              <w:rPr>
                <w:rFonts w:hint="eastAsia" w:ascii="宋体" w:hAnsi="宋体" w:eastAsia="宋体" w:cs="宋体"/>
                <w:i w:val="0"/>
                <w:iCs w:val="0"/>
                <w:color w:val="auto"/>
                <w:kern w:val="0"/>
                <w:sz w:val="21"/>
                <w:szCs w:val="21"/>
                <w:lang w:val="en-US" w:eastAsia="zh-CN" w:bidi="ar"/>
              </w:rPr>
              <w:t>核心优势</w:t>
            </w:r>
          </w:p>
        </w:tc>
        <w:tc>
          <w:tcPr>
            <w:tcW w:w="2346" w:type="dxa"/>
            <w:tcBorders>
              <w:top w:val="single" w:color="000000" w:sz="4" w:space="0"/>
              <w:left w:val="nil"/>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21"/>
                <w:szCs w:val="21"/>
              </w:rPr>
            </w:pPr>
            <w:r>
              <w:rPr>
                <w:rFonts w:hint="eastAsia" w:ascii="宋体" w:hAnsi="宋体" w:eastAsia="宋体" w:cs="宋体"/>
                <w:i w:val="0"/>
                <w:iCs w:val="0"/>
                <w:color w:val="auto"/>
                <w:kern w:val="0"/>
                <w:sz w:val="21"/>
                <w:szCs w:val="21"/>
                <w:lang w:val="en-US" w:eastAsia="zh-CN" w:bidi="ar"/>
              </w:rPr>
              <w:t>局限性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86" w:hRule="atLeast"/>
        </w:trPr>
        <w:tc>
          <w:tcPr>
            <w:tcW w:w="12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auto"/>
                <w:sz w:val="21"/>
                <w:szCs w:val="21"/>
              </w:rPr>
            </w:pPr>
            <w:r>
              <w:rPr>
                <w:rFonts w:hint="eastAsia" w:ascii="宋体" w:hAnsi="宋体" w:eastAsia="宋体" w:cs="宋体"/>
                <w:b/>
                <w:bCs/>
                <w:i w:val="0"/>
                <w:iCs w:val="0"/>
                <w:color w:val="auto"/>
                <w:kern w:val="0"/>
                <w:sz w:val="21"/>
                <w:szCs w:val="21"/>
                <w:lang w:val="en-US" w:eastAsia="zh-CN" w:bidi="ar"/>
              </w:rPr>
              <w:t>医渡科技</w:t>
            </w:r>
          </w:p>
        </w:tc>
        <w:tc>
          <w:tcPr>
            <w:tcW w:w="1636" w:type="dxa"/>
            <w:tcBorders>
              <w:top w:val="single" w:color="000000" w:sz="4" w:space="0"/>
              <w:left w:val="nil"/>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21"/>
                <w:szCs w:val="21"/>
              </w:rPr>
            </w:pPr>
            <w:r>
              <w:rPr>
                <w:rFonts w:hint="eastAsia" w:ascii="宋体" w:hAnsi="宋体" w:eastAsia="宋体" w:cs="宋体"/>
                <w:i w:val="0"/>
                <w:iCs w:val="0"/>
                <w:color w:val="auto"/>
                <w:kern w:val="0"/>
                <w:sz w:val="21"/>
                <w:szCs w:val="21"/>
                <w:lang w:val="en-US" w:eastAsia="zh-CN" w:bidi="ar"/>
              </w:rPr>
              <w:t>Yidu Core+deepseek</w:t>
            </w:r>
          </w:p>
        </w:tc>
        <w:tc>
          <w:tcPr>
            <w:tcW w:w="3260" w:type="dxa"/>
            <w:tcBorders>
              <w:top w:val="single" w:color="000000" w:sz="4" w:space="0"/>
              <w:left w:val="nil"/>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21"/>
                <w:szCs w:val="21"/>
              </w:rPr>
            </w:pPr>
            <w:r>
              <w:rPr>
                <w:rFonts w:hint="eastAsia" w:ascii="宋体" w:hAnsi="宋体" w:eastAsia="宋体" w:cs="宋体"/>
                <w:i w:val="0"/>
                <w:iCs w:val="0"/>
                <w:color w:val="auto"/>
                <w:kern w:val="0"/>
                <w:sz w:val="21"/>
                <w:szCs w:val="21"/>
                <w:lang w:val="en-US" w:eastAsia="zh-CN" w:bidi="ar"/>
              </w:rPr>
              <w:t>医疗智能大脑”YiduCore经授权处理分析了超过40多亿份医疗记录,沉淀了大量多维度可量化的知识图谱,基于自研的数据生成技术,将这些知识图谱应用于大模型训练。</w:t>
            </w:r>
          </w:p>
        </w:tc>
        <w:tc>
          <w:tcPr>
            <w:tcW w:w="2346" w:type="dxa"/>
            <w:tcBorders>
              <w:top w:val="single" w:color="000000" w:sz="4" w:space="0"/>
              <w:left w:val="nil"/>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21"/>
                <w:szCs w:val="21"/>
              </w:rPr>
            </w:pPr>
            <w:r>
              <w:rPr>
                <w:rFonts w:hint="eastAsia" w:ascii="宋体" w:hAnsi="宋体" w:eastAsia="宋体" w:cs="宋体"/>
                <w:i w:val="0"/>
                <w:iCs w:val="0"/>
                <w:color w:val="auto"/>
                <w:kern w:val="0"/>
                <w:sz w:val="21"/>
                <w:szCs w:val="21"/>
                <w:lang w:val="en-US" w:eastAsia="zh-CN" w:bidi="ar"/>
              </w:rPr>
              <w:t>系统复杂度高，基层医疗机构部署成本较大，流调功能需与第三方场景集成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86" w:hRule="atLeast"/>
        </w:trPr>
        <w:tc>
          <w:tcPr>
            <w:tcW w:w="12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auto"/>
                <w:sz w:val="21"/>
                <w:szCs w:val="21"/>
              </w:rPr>
            </w:pPr>
            <w:r>
              <w:rPr>
                <w:rFonts w:hint="eastAsia" w:ascii="宋体" w:hAnsi="宋体" w:eastAsia="宋体" w:cs="宋体"/>
                <w:b/>
                <w:bCs/>
                <w:i w:val="0"/>
                <w:iCs w:val="0"/>
                <w:color w:val="auto"/>
                <w:kern w:val="0"/>
                <w:sz w:val="21"/>
                <w:szCs w:val="21"/>
                <w:lang w:val="en-US" w:eastAsia="zh-CN" w:bidi="ar"/>
              </w:rPr>
              <w:t>声智科技</w:t>
            </w:r>
          </w:p>
        </w:tc>
        <w:tc>
          <w:tcPr>
            <w:tcW w:w="1636" w:type="dxa"/>
            <w:tcBorders>
              <w:top w:val="single" w:color="000000" w:sz="4" w:space="0"/>
              <w:left w:val="nil"/>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21"/>
                <w:szCs w:val="21"/>
              </w:rPr>
            </w:pPr>
            <w:r>
              <w:rPr>
                <w:rFonts w:hint="eastAsia" w:ascii="宋体" w:hAnsi="宋体" w:eastAsia="宋体" w:cs="宋体"/>
                <w:i w:val="0"/>
                <w:iCs w:val="0"/>
                <w:color w:val="auto"/>
                <w:kern w:val="0"/>
                <w:sz w:val="21"/>
                <w:szCs w:val="21"/>
                <w:lang w:val="en-US" w:eastAsia="zh-CN" w:bidi="ar"/>
              </w:rPr>
              <w:t>多模态交互+OMO闭环</w:t>
            </w:r>
          </w:p>
        </w:tc>
        <w:tc>
          <w:tcPr>
            <w:tcW w:w="3260" w:type="dxa"/>
            <w:tcBorders>
              <w:top w:val="single" w:color="000000" w:sz="4" w:space="0"/>
              <w:left w:val="nil"/>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21"/>
                <w:szCs w:val="21"/>
              </w:rPr>
            </w:pPr>
            <w:r>
              <w:rPr>
                <w:rFonts w:hint="eastAsia" w:ascii="宋体" w:hAnsi="宋体" w:eastAsia="宋体" w:cs="宋体"/>
                <w:i w:val="0"/>
                <w:iCs w:val="0"/>
                <w:color w:val="auto"/>
                <w:kern w:val="0"/>
                <w:sz w:val="21"/>
                <w:szCs w:val="21"/>
                <w:lang w:val="en-US" w:eastAsia="zh-CN" w:bidi="ar"/>
              </w:rPr>
              <w:t>集成健康宝与流调系统，支持无手机用户离线核验，一码通行;通过IDA电子化代填报，老年用户操作耗时降低76%。</w:t>
            </w:r>
          </w:p>
        </w:tc>
        <w:tc>
          <w:tcPr>
            <w:tcW w:w="2346" w:type="dxa"/>
            <w:tcBorders>
              <w:top w:val="single" w:color="000000" w:sz="4" w:space="0"/>
              <w:left w:val="nil"/>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21"/>
                <w:szCs w:val="21"/>
              </w:rPr>
            </w:pPr>
            <w:r>
              <w:rPr>
                <w:rFonts w:hint="eastAsia" w:ascii="宋体" w:hAnsi="宋体" w:eastAsia="宋体" w:cs="宋体"/>
                <w:i w:val="0"/>
                <w:iCs w:val="0"/>
                <w:color w:val="auto"/>
                <w:kern w:val="0"/>
                <w:sz w:val="21"/>
                <w:szCs w:val="21"/>
                <w:lang w:val="en-US" w:eastAsia="zh-CN" w:bidi="ar"/>
              </w:rPr>
              <w:t>数据生态依赖政府接口（如北京健康宝），跨区域扩展需重新适配本地化系统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86" w:hRule="atLeast"/>
        </w:trPr>
        <w:tc>
          <w:tcPr>
            <w:tcW w:w="12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auto"/>
                <w:sz w:val="21"/>
                <w:szCs w:val="21"/>
              </w:rPr>
            </w:pPr>
            <w:r>
              <w:rPr>
                <w:rFonts w:hint="eastAsia" w:ascii="宋体" w:hAnsi="宋体" w:eastAsia="宋体" w:cs="宋体"/>
                <w:b/>
                <w:bCs/>
                <w:i w:val="0"/>
                <w:iCs w:val="0"/>
                <w:color w:val="auto"/>
                <w:kern w:val="0"/>
                <w:sz w:val="21"/>
                <w:szCs w:val="21"/>
                <w:lang w:val="en-US" w:eastAsia="zh-CN" w:bidi="ar"/>
              </w:rPr>
              <w:t>辰安科技</w:t>
            </w:r>
          </w:p>
        </w:tc>
        <w:tc>
          <w:tcPr>
            <w:tcW w:w="1636" w:type="dxa"/>
            <w:tcBorders>
              <w:top w:val="single" w:color="000000" w:sz="4" w:space="0"/>
              <w:left w:val="nil"/>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21"/>
                <w:szCs w:val="21"/>
              </w:rPr>
            </w:pPr>
            <w:r>
              <w:rPr>
                <w:rFonts w:hint="eastAsia" w:ascii="宋体" w:hAnsi="宋体" w:eastAsia="宋体" w:cs="宋体"/>
                <w:i w:val="0"/>
                <w:iCs w:val="0"/>
                <w:color w:val="auto"/>
                <w:kern w:val="0"/>
                <w:sz w:val="21"/>
                <w:szCs w:val="21"/>
                <w:lang w:val="en-US" w:eastAsia="zh-CN" w:bidi="ar"/>
              </w:rPr>
              <w:t>公共安全应急管理平台</w:t>
            </w:r>
          </w:p>
        </w:tc>
        <w:tc>
          <w:tcPr>
            <w:tcW w:w="3260" w:type="dxa"/>
            <w:tcBorders>
              <w:top w:val="single" w:color="000000" w:sz="4" w:space="0"/>
              <w:left w:val="nil"/>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21"/>
                <w:szCs w:val="21"/>
              </w:rPr>
            </w:pPr>
            <w:r>
              <w:rPr>
                <w:rFonts w:hint="eastAsia" w:ascii="宋体" w:hAnsi="宋体" w:eastAsia="宋体" w:cs="宋体"/>
                <w:i w:val="0"/>
                <w:iCs w:val="0"/>
                <w:color w:val="auto"/>
                <w:kern w:val="0"/>
                <w:sz w:val="21"/>
                <w:szCs w:val="21"/>
                <w:lang w:val="en-US" w:eastAsia="zh-CN" w:bidi="ar"/>
              </w:rPr>
              <w:t>疫情监测与应急指挥系统整合流调数据，支持区域性风险预测（如密接者追踪）</w:t>
            </w:r>
          </w:p>
        </w:tc>
        <w:tc>
          <w:tcPr>
            <w:tcW w:w="2346" w:type="dxa"/>
            <w:tcBorders>
              <w:top w:val="single" w:color="000000" w:sz="4" w:space="0"/>
              <w:left w:val="nil"/>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21"/>
                <w:szCs w:val="21"/>
              </w:rPr>
            </w:pPr>
            <w:r>
              <w:rPr>
                <w:rFonts w:hint="eastAsia" w:ascii="宋体" w:hAnsi="宋体" w:eastAsia="宋体" w:cs="宋体"/>
                <w:i w:val="0"/>
                <w:iCs w:val="0"/>
                <w:color w:val="auto"/>
                <w:kern w:val="0"/>
                <w:sz w:val="21"/>
                <w:szCs w:val="21"/>
                <w:lang w:val="en-US" w:eastAsia="zh-CN" w:bidi="ar"/>
              </w:rPr>
              <w:t>医疗垂域流调功能较弱，更多服务于政府级疫情防控，缺乏临床场景深度结合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86" w:hRule="atLeast"/>
        </w:trPr>
        <w:tc>
          <w:tcPr>
            <w:tcW w:w="12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auto"/>
                <w:sz w:val="21"/>
                <w:szCs w:val="21"/>
              </w:rPr>
            </w:pPr>
            <w:r>
              <w:rPr>
                <w:rFonts w:hint="eastAsia" w:ascii="宋体" w:hAnsi="宋体" w:eastAsia="宋体" w:cs="宋体"/>
                <w:b/>
                <w:bCs/>
                <w:i w:val="0"/>
                <w:iCs w:val="0"/>
                <w:color w:val="auto"/>
                <w:kern w:val="0"/>
                <w:sz w:val="21"/>
                <w:szCs w:val="21"/>
                <w:lang w:val="en-US" w:eastAsia="zh-CN" w:bidi="ar"/>
              </w:rPr>
              <w:t>维智科技</w:t>
            </w:r>
          </w:p>
        </w:tc>
        <w:tc>
          <w:tcPr>
            <w:tcW w:w="1636" w:type="dxa"/>
            <w:tcBorders>
              <w:top w:val="single" w:color="000000" w:sz="4" w:space="0"/>
              <w:left w:val="nil"/>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21"/>
                <w:szCs w:val="21"/>
              </w:rPr>
            </w:pPr>
            <w:r>
              <w:rPr>
                <w:rFonts w:hint="eastAsia" w:ascii="宋体" w:hAnsi="宋体" w:eastAsia="宋体" w:cs="宋体"/>
                <w:i w:val="0"/>
                <w:iCs w:val="0"/>
                <w:color w:val="auto"/>
                <w:kern w:val="0"/>
                <w:sz w:val="21"/>
                <w:szCs w:val="21"/>
                <w:lang w:val="en-US" w:eastAsia="zh-CN" w:bidi="ar"/>
              </w:rPr>
              <w:t>城市级空间智能分析</w:t>
            </w:r>
          </w:p>
        </w:tc>
        <w:tc>
          <w:tcPr>
            <w:tcW w:w="3260" w:type="dxa"/>
            <w:tcBorders>
              <w:top w:val="single" w:color="000000" w:sz="4" w:space="0"/>
              <w:left w:val="nil"/>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21"/>
                <w:szCs w:val="21"/>
              </w:rPr>
            </w:pPr>
            <w:r>
              <w:rPr>
                <w:rFonts w:hint="eastAsia" w:ascii="宋体" w:hAnsi="宋体" w:eastAsia="宋体" w:cs="宋体"/>
                <w:i w:val="0"/>
                <w:iCs w:val="0"/>
                <w:color w:val="auto"/>
                <w:kern w:val="0"/>
                <w:sz w:val="21"/>
                <w:szCs w:val="21"/>
                <w:lang w:val="en-US" w:eastAsia="zh-CN" w:bidi="ar"/>
              </w:rPr>
              <w:t>基于LBS的流调轨迹分析，结合城市大数据实现传播链可视化</w:t>
            </w:r>
          </w:p>
        </w:tc>
        <w:tc>
          <w:tcPr>
            <w:tcW w:w="2346" w:type="dxa"/>
            <w:tcBorders>
              <w:top w:val="single" w:color="000000" w:sz="4" w:space="0"/>
              <w:left w:val="nil"/>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21"/>
                <w:szCs w:val="21"/>
              </w:rPr>
            </w:pPr>
            <w:r>
              <w:rPr>
                <w:rFonts w:hint="eastAsia" w:ascii="宋体" w:hAnsi="宋体" w:eastAsia="宋体" w:cs="宋体"/>
                <w:i w:val="0"/>
                <w:iCs w:val="0"/>
                <w:color w:val="auto"/>
                <w:kern w:val="0"/>
                <w:sz w:val="21"/>
                <w:szCs w:val="21"/>
                <w:lang w:val="en-US" w:eastAsia="zh-CN" w:bidi="ar"/>
              </w:rPr>
              <w:t>侧重宏观流行病学分析，缺乏个体化流调交互设计，未与医疗机构系统直连</w:t>
            </w:r>
          </w:p>
        </w:tc>
      </w:tr>
    </w:tbl>
    <w:p>
      <w:pPr>
        <w:keepNext w:val="0"/>
        <w:keepLines w:val="0"/>
        <w:widowControl w:val="0"/>
        <w:suppressLineNumbers w:val="0"/>
        <w:spacing w:before="120" w:beforeAutospacing="0" w:after="120" w:afterAutospacing="0" w:line="288" w:lineRule="auto"/>
        <w:ind w:left="0" w:right="0"/>
        <w:jc w:val="both"/>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 xml:space="preserve"> </w:t>
      </w:r>
    </w:p>
    <w:p>
      <w:pPr>
        <w:pStyle w:val="4"/>
        <w:numPr>
          <w:numId w:val="0"/>
        </w:numPr>
        <w:bidi w:val="0"/>
        <w:ind w:leftChars="0"/>
        <w:outlineLvl w:val="3"/>
        <w:rPr>
          <w:rFonts w:hint="eastAsia"/>
          <w:sz w:val="21"/>
          <w:szCs w:val="21"/>
        </w:rPr>
      </w:pPr>
      <w:r>
        <w:rPr>
          <w:rFonts w:hint="eastAsia" w:ascii="仿宋" w:hAnsi="仿宋" w:eastAsia="仿宋" w:cs="仿宋"/>
          <w:sz w:val="21"/>
          <w:szCs w:val="21"/>
          <w:lang w:val="en-US" w:eastAsia="zh-CN"/>
        </w:rPr>
        <w:t>1.4.2.2.</w:t>
      </w:r>
      <w:r>
        <w:rPr>
          <w:rFonts w:hint="eastAsia"/>
          <w:sz w:val="21"/>
          <w:szCs w:val="21"/>
          <w:lang w:val="en-US" w:eastAsia="zh-CN"/>
        </w:rPr>
        <w:t>健康管家系统对比</w:t>
      </w:r>
    </w:p>
    <w:tbl>
      <w:tblPr>
        <w:tblStyle w:val="2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917"/>
        <w:gridCol w:w="2062"/>
        <w:gridCol w:w="2560"/>
        <w:gridCol w:w="1552"/>
        <w:gridCol w:w="186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0" w:hRule="atLeast"/>
        </w:trPr>
        <w:tc>
          <w:tcPr>
            <w:tcW w:w="962" w:type="pct"/>
            <w:tcBorders>
              <w:top w:val="nil"/>
              <w:left w:val="nil"/>
              <w:bottom w:val="nil"/>
              <w:right w:val="nil"/>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default" w:ascii="Segoe UI" w:hAnsi="Segoe UI" w:eastAsia="Segoe UI" w:cs="Segoe UI"/>
                <w:b/>
                <w:bCs/>
                <w:i w:val="0"/>
                <w:iCs w:val="0"/>
                <w:color w:val="auto"/>
                <w:sz w:val="21"/>
                <w:szCs w:val="21"/>
              </w:rPr>
            </w:pPr>
            <w:r>
              <w:rPr>
                <w:rFonts w:hint="default" w:ascii="Segoe UI" w:hAnsi="Segoe UI" w:eastAsia="Segoe UI" w:cs="Segoe UI"/>
                <w:b/>
                <w:bCs/>
                <w:i w:val="0"/>
                <w:iCs w:val="0"/>
                <w:color w:val="auto"/>
                <w:kern w:val="0"/>
                <w:sz w:val="21"/>
                <w:szCs w:val="21"/>
                <w:lang w:val="en-US" w:eastAsia="zh-CN" w:bidi="ar"/>
              </w:rPr>
              <w:t>系统名称</w:t>
            </w:r>
          </w:p>
        </w:tc>
        <w:tc>
          <w:tcPr>
            <w:tcW w:w="1035" w:type="pct"/>
            <w:tcBorders>
              <w:top w:val="nil"/>
              <w:left w:val="nil"/>
              <w:bottom w:val="nil"/>
              <w:right w:val="nil"/>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default" w:ascii="Segoe UI" w:hAnsi="Segoe UI" w:eastAsia="Segoe UI" w:cs="Segoe UI"/>
                <w:b/>
                <w:bCs/>
                <w:i w:val="0"/>
                <w:iCs w:val="0"/>
                <w:color w:val="auto"/>
                <w:sz w:val="21"/>
                <w:szCs w:val="21"/>
              </w:rPr>
            </w:pPr>
            <w:r>
              <w:rPr>
                <w:rFonts w:hint="default" w:ascii="Segoe UI" w:hAnsi="Segoe UI" w:eastAsia="Segoe UI" w:cs="Segoe UI"/>
                <w:b/>
                <w:bCs/>
                <w:i w:val="0"/>
                <w:iCs w:val="0"/>
                <w:color w:val="auto"/>
                <w:kern w:val="0"/>
                <w:sz w:val="21"/>
                <w:szCs w:val="21"/>
                <w:lang w:val="en-US" w:eastAsia="zh-CN" w:bidi="ar"/>
              </w:rPr>
              <w:t>核心功能</w:t>
            </w:r>
          </w:p>
        </w:tc>
        <w:tc>
          <w:tcPr>
            <w:tcW w:w="1285" w:type="pct"/>
            <w:tcBorders>
              <w:top w:val="nil"/>
              <w:left w:val="nil"/>
              <w:bottom w:val="nil"/>
              <w:right w:val="nil"/>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default" w:ascii="Segoe UI" w:hAnsi="Segoe UI" w:eastAsia="Segoe UI" w:cs="Segoe UI"/>
                <w:b/>
                <w:bCs/>
                <w:i w:val="0"/>
                <w:iCs w:val="0"/>
                <w:color w:val="auto"/>
                <w:sz w:val="21"/>
                <w:szCs w:val="21"/>
              </w:rPr>
            </w:pPr>
            <w:r>
              <w:rPr>
                <w:rFonts w:hint="default" w:ascii="Segoe UI" w:hAnsi="Segoe UI" w:eastAsia="Segoe UI" w:cs="Segoe UI"/>
                <w:b/>
                <w:bCs/>
                <w:i w:val="0"/>
                <w:iCs w:val="0"/>
                <w:color w:val="auto"/>
                <w:kern w:val="0"/>
                <w:sz w:val="21"/>
                <w:szCs w:val="21"/>
                <w:lang w:val="en-US" w:eastAsia="zh-CN" w:bidi="ar"/>
              </w:rPr>
              <w:t>技术架构</w:t>
            </w:r>
          </w:p>
        </w:tc>
        <w:tc>
          <w:tcPr>
            <w:tcW w:w="779" w:type="pct"/>
            <w:tcBorders>
              <w:top w:val="nil"/>
              <w:left w:val="nil"/>
              <w:bottom w:val="nil"/>
              <w:right w:val="nil"/>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default" w:ascii="Segoe UI" w:hAnsi="Segoe UI" w:eastAsia="Segoe UI" w:cs="Segoe UI"/>
                <w:b/>
                <w:bCs/>
                <w:i w:val="0"/>
                <w:iCs w:val="0"/>
                <w:color w:val="auto"/>
                <w:sz w:val="21"/>
                <w:szCs w:val="21"/>
              </w:rPr>
            </w:pPr>
            <w:r>
              <w:rPr>
                <w:rFonts w:hint="default" w:ascii="Segoe UI" w:hAnsi="Segoe UI" w:eastAsia="Segoe UI" w:cs="Segoe UI"/>
                <w:b/>
                <w:bCs/>
                <w:i w:val="0"/>
                <w:iCs w:val="0"/>
                <w:color w:val="auto"/>
                <w:kern w:val="0"/>
                <w:sz w:val="21"/>
                <w:szCs w:val="21"/>
                <w:lang w:val="en-US" w:eastAsia="zh-CN" w:bidi="ar"/>
              </w:rPr>
              <w:t>数据规模与应用场景</w:t>
            </w:r>
          </w:p>
        </w:tc>
        <w:tc>
          <w:tcPr>
            <w:tcW w:w="937" w:type="pct"/>
            <w:tcBorders>
              <w:top w:val="nil"/>
              <w:left w:val="nil"/>
              <w:bottom w:val="nil"/>
              <w:right w:val="nil"/>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default" w:ascii="Segoe UI" w:hAnsi="Segoe UI" w:eastAsia="Segoe UI" w:cs="Segoe UI"/>
                <w:b/>
                <w:bCs/>
                <w:i w:val="0"/>
                <w:iCs w:val="0"/>
                <w:color w:val="auto"/>
                <w:sz w:val="21"/>
                <w:szCs w:val="21"/>
              </w:rPr>
            </w:pPr>
            <w:r>
              <w:rPr>
                <w:rFonts w:hint="default" w:ascii="Segoe UI" w:hAnsi="Segoe UI" w:eastAsia="Segoe UI" w:cs="Segoe UI"/>
                <w:b/>
                <w:bCs/>
                <w:i w:val="0"/>
                <w:iCs w:val="0"/>
                <w:color w:val="auto"/>
                <w:kern w:val="0"/>
                <w:sz w:val="21"/>
                <w:szCs w:val="21"/>
                <w:lang w:val="en-US" w:eastAsia="zh-CN" w:bidi="ar"/>
              </w:rPr>
              <w:t>用户群体与优势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899" w:hRule="atLeast"/>
        </w:trPr>
        <w:tc>
          <w:tcPr>
            <w:tcW w:w="962" w:type="pct"/>
            <w:vMerge w:val="restart"/>
            <w:tcBorders>
              <w:top w:val="nil"/>
              <w:left w:val="nil"/>
              <w:bottom w:val="nil"/>
              <w:right w:val="nil"/>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default" w:ascii="Segoe UI" w:hAnsi="Segoe UI" w:eastAsia="Segoe UI" w:cs="Segoe UI"/>
                <w:b/>
                <w:bCs/>
                <w:i w:val="0"/>
                <w:iCs w:val="0"/>
                <w:color w:val="auto"/>
                <w:sz w:val="21"/>
                <w:szCs w:val="21"/>
              </w:rPr>
            </w:pPr>
            <w:r>
              <w:rPr>
                <w:rFonts w:hint="default" w:ascii="Segoe UI" w:hAnsi="Segoe UI" w:eastAsia="Segoe UI" w:cs="Segoe UI"/>
                <w:b/>
                <w:bCs/>
                <w:i w:val="0"/>
                <w:iCs w:val="0"/>
                <w:color w:val="auto"/>
                <w:kern w:val="0"/>
                <w:sz w:val="21"/>
                <w:szCs w:val="21"/>
                <w:lang w:val="en-US" w:eastAsia="zh-CN" w:bidi="ar"/>
              </w:rPr>
              <w:t>智云健康（ClouDr）</w:t>
            </w:r>
          </w:p>
        </w:tc>
        <w:tc>
          <w:tcPr>
            <w:tcW w:w="1035" w:type="pct"/>
            <w:vMerge w:val="restart"/>
            <w:tcBorders>
              <w:top w:val="nil"/>
              <w:left w:val="nil"/>
              <w:bottom w:val="nil"/>
              <w:right w:val="nil"/>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default" w:ascii="Segoe UI" w:hAnsi="Segoe UI" w:eastAsia="Segoe UI" w:cs="Segoe UI"/>
                <w:i w:val="0"/>
                <w:iCs w:val="0"/>
                <w:color w:val="auto"/>
                <w:sz w:val="21"/>
                <w:szCs w:val="21"/>
              </w:rPr>
            </w:pPr>
            <w:r>
              <w:rPr>
                <w:rFonts w:hint="default" w:ascii="Segoe UI" w:hAnsi="Segoe UI" w:eastAsia="Segoe UI" w:cs="Segoe UI"/>
                <w:i w:val="0"/>
                <w:iCs w:val="0"/>
                <w:color w:val="auto"/>
                <w:kern w:val="0"/>
                <w:sz w:val="21"/>
                <w:szCs w:val="21"/>
                <w:lang w:val="en-US" w:eastAsia="zh-CN" w:bidi="ar"/>
              </w:rPr>
              <w:t>医院/药店SaaS系统、互联网医院平台、远程复诊、送药上门、动态健康监测</w:t>
            </w:r>
          </w:p>
        </w:tc>
        <w:tc>
          <w:tcPr>
            <w:tcW w:w="1285" w:type="pct"/>
            <w:tcBorders>
              <w:top w:val="nil"/>
              <w:left w:val="nil"/>
              <w:bottom w:val="nil"/>
              <w:right w:val="nil"/>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default" w:ascii="Segoe UI" w:hAnsi="Segoe UI" w:eastAsia="Segoe UI" w:cs="Segoe UI"/>
                <w:i w:val="0"/>
                <w:iCs w:val="0"/>
                <w:color w:val="auto"/>
                <w:sz w:val="21"/>
                <w:szCs w:val="21"/>
              </w:rPr>
            </w:pPr>
            <w:r>
              <w:rPr>
                <w:rFonts w:hint="default" w:ascii="Segoe UI" w:hAnsi="Segoe UI" w:eastAsia="Segoe UI" w:cs="Segoe UI"/>
                <w:i w:val="0"/>
                <w:iCs w:val="0"/>
                <w:color w:val="auto"/>
                <w:kern w:val="0"/>
                <w:sz w:val="21"/>
                <w:szCs w:val="21"/>
                <w:lang w:val="en-US" w:eastAsia="zh-CN" w:bidi="ar"/>
              </w:rPr>
              <w:t>基于知识图谱的医疗智能系统</w:t>
            </w:r>
          </w:p>
        </w:tc>
        <w:tc>
          <w:tcPr>
            <w:tcW w:w="779" w:type="pct"/>
            <w:tcBorders>
              <w:top w:val="nil"/>
              <w:left w:val="nil"/>
              <w:bottom w:val="nil"/>
              <w:right w:val="nil"/>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default" w:ascii="Segoe UI" w:hAnsi="Segoe UI" w:eastAsia="Segoe UI" w:cs="Segoe UI"/>
                <w:i w:val="0"/>
                <w:iCs w:val="0"/>
                <w:color w:val="auto"/>
                <w:sz w:val="21"/>
                <w:szCs w:val="21"/>
              </w:rPr>
            </w:pPr>
            <w:r>
              <w:rPr>
                <w:rFonts w:hint="default" w:ascii="Segoe UI" w:hAnsi="Segoe UI" w:eastAsia="Segoe UI" w:cs="Segoe UI"/>
                <w:i w:val="0"/>
                <w:iCs w:val="0"/>
                <w:color w:val="auto"/>
                <w:kern w:val="0"/>
                <w:sz w:val="21"/>
                <w:szCs w:val="21"/>
                <w:lang w:val="en-US" w:eastAsia="zh-CN" w:bidi="ar"/>
              </w:rPr>
              <w:t>服务2700+医院、23万+药店</w:t>
            </w:r>
          </w:p>
        </w:tc>
        <w:tc>
          <w:tcPr>
            <w:tcW w:w="937" w:type="pct"/>
            <w:tcBorders>
              <w:top w:val="nil"/>
              <w:left w:val="nil"/>
              <w:bottom w:val="nil"/>
              <w:right w:val="nil"/>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default" w:ascii="Segoe UI" w:hAnsi="Segoe UI" w:eastAsia="Segoe UI" w:cs="Segoe UI"/>
                <w:b/>
                <w:bCs/>
                <w:i w:val="0"/>
                <w:iCs w:val="0"/>
                <w:color w:val="auto"/>
                <w:sz w:val="21"/>
                <w:szCs w:val="21"/>
              </w:rPr>
            </w:pPr>
            <w:r>
              <w:rPr>
                <w:rFonts w:hint="default" w:ascii="Segoe UI" w:hAnsi="Segoe UI" w:eastAsia="Segoe UI" w:cs="Segoe UI"/>
                <w:b/>
                <w:bCs/>
                <w:i w:val="0"/>
                <w:iCs w:val="0"/>
                <w:color w:val="auto"/>
                <w:kern w:val="0"/>
                <w:sz w:val="21"/>
                <w:szCs w:val="21"/>
                <w:lang w:val="en-US" w:eastAsia="zh-CN" w:bidi="ar"/>
              </w:rPr>
              <w:t>医疗机构/慢病患者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0" w:hRule="atLeast"/>
        </w:trPr>
        <w:tc>
          <w:tcPr>
            <w:tcW w:w="962" w:type="pct"/>
            <w:vMerge w:val="continue"/>
            <w:tcBorders>
              <w:top w:val="nil"/>
              <w:left w:val="nil"/>
              <w:bottom w:val="nil"/>
              <w:right w:val="nil"/>
            </w:tcBorders>
            <w:shd w:val="clear" w:color="auto" w:fill="auto"/>
            <w:vAlign w:val="center"/>
          </w:tcPr>
          <w:p>
            <w:pPr>
              <w:keepNext w:val="0"/>
              <w:keepLines w:val="0"/>
              <w:suppressLineNumbers w:val="0"/>
              <w:spacing w:before="0" w:beforeAutospacing="0" w:after="0" w:afterAutospacing="0"/>
              <w:ind w:left="0" w:right="0"/>
              <w:rPr>
                <w:rFonts w:hint="default" w:ascii="Times New Roman" w:hAnsi="Times New Roman" w:cs="Times New Roman"/>
                <w:color w:val="auto"/>
                <w:sz w:val="21"/>
                <w:szCs w:val="21"/>
              </w:rPr>
            </w:pPr>
          </w:p>
        </w:tc>
        <w:tc>
          <w:tcPr>
            <w:tcW w:w="1035" w:type="pct"/>
            <w:vMerge w:val="continue"/>
            <w:tcBorders>
              <w:top w:val="nil"/>
              <w:left w:val="nil"/>
              <w:bottom w:val="nil"/>
              <w:right w:val="nil"/>
            </w:tcBorders>
            <w:shd w:val="clear" w:color="auto" w:fill="auto"/>
            <w:vAlign w:val="center"/>
          </w:tcPr>
          <w:p>
            <w:pPr>
              <w:keepNext w:val="0"/>
              <w:keepLines w:val="0"/>
              <w:suppressLineNumbers w:val="0"/>
              <w:spacing w:before="0" w:beforeAutospacing="0" w:after="0" w:afterAutospacing="0"/>
              <w:ind w:left="0" w:right="0"/>
              <w:rPr>
                <w:rFonts w:hint="default" w:ascii="Times New Roman" w:hAnsi="Times New Roman" w:cs="Times New Roman"/>
                <w:color w:val="auto"/>
                <w:sz w:val="21"/>
                <w:szCs w:val="21"/>
              </w:rPr>
            </w:pPr>
          </w:p>
        </w:tc>
        <w:tc>
          <w:tcPr>
            <w:tcW w:w="1285" w:type="pct"/>
            <w:tcBorders>
              <w:top w:val="nil"/>
              <w:left w:val="nil"/>
              <w:bottom w:val="nil"/>
              <w:right w:val="nil"/>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default" w:ascii="Segoe UI" w:hAnsi="Segoe UI" w:eastAsia="Segoe UI" w:cs="Segoe UI"/>
                <w:i w:val="0"/>
                <w:iCs w:val="0"/>
                <w:color w:val="auto"/>
                <w:sz w:val="21"/>
                <w:szCs w:val="21"/>
              </w:rPr>
            </w:pPr>
            <w:r>
              <w:rPr>
                <w:rFonts w:hint="default" w:ascii="Segoe UI" w:hAnsi="Segoe UI" w:eastAsia="Segoe UI" w:cs="Segoe UI"/>
                <w:i w:val="0"/>
                <w:iCs w:val="0"/>
                <w:color w:val="auto"/>
                <w:kern w:val="0"/>
                <w:sz w:val="21"/>
                <w:szCs w:val="21"/>
                <w:lang w:val="en-US" w:eastAsia="zh-CN" w:bidi="ar"/>
              </w:rPr>
              <w:t>集成DeepSeek-R1大模型（自然语言处理与决策支持）</w:t>
            </w:r>
          </w:p>
        </w:tc>
        <w:tc>
          <w:tcPr>
            <w:tcW w:w="779" w:type="pct"/>
            <w:tcBorders>
              <w:top w:val="nil"/>
              <w:left w:val="nil"/>
              <w:bottom w:val="nil"/>
              <w:right w:val="nil"/>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default" w:ascii="Segoe UI" w:hAnsi="Segoe UI" w:eastAsia="Segoe UI" w:cs="Segoe UI"/>
                <w:i w:val="0"/>
                <w:iCs w:val="0"/>
                <w:color w:val="auto"/>
                <w:sz w:val="21"/>
                <w:szCs w:val="21"/>
              </w:rPr>
            </w:pPr>
            <w:r>
              <w:rPr>
                <w:rFonts w:hint="default" w:ascii="Segoe UI" w:hAnsi="Segoe UI" w:eastAsia="Segoe UI" w:cs="Segoe UI"/>
                <w:i w:val="0"/>
                <w:iCs w:val="0"/>
                <w:color w:val="auto"/>
                <w:kern w:val="0"/>
                <w:sz w:val="21"/>
                <w:szCs w:val="21"/>
                <w:lang w:val="en-US" w:eastAsia="zh-CN" w:bidi="ar"/>
              </w:rPr>
              <w:t>10亿级电子病历分析</w:t>
            </w:r>
          </w:p>
        </w:tc>
        <w:tc>
          <w:tcPr>
            <w:tcW w:w="937" w:type="pct"/>
            <w:tcBorders>
              <w:top w:val="nil"/>
              <w:left w:val="nil"/>
              <w:bottom w:val="nil"/>
              <w:right w:val="nil"/>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default" w:ascii="Segoe UI" w:hAnsi="Segoe UI" w:eastAsia="Segoe UI" w:cs="Segoe UI"/>
                <w:i w:val="0"/>
                <w:iCs w:val="0"/>
                <w:color w:val="auto"/>
                <w:sz w:val="21"/>
                <w:szCs w:val="21"/>
              </w:rPr>
            </w:pPr>
            <w:r>
              <w:rPr>
                <w:rFonts w:hint="default" w:ascii="Segoe UI" w:hAnsi="Segoe UI" w:eastAsia="Segoe UI" w:cs="Segoe UI"/>
                <w:i w:val="0"/>
                <w:iCs w:val="0"/>
                <w:color w:val="auto"/>
                <w:kern w:val="0"/>
                <w:sz w:val="21"/>
                <w:szCs w:val="21"/>
                <w:lang w:val="en-US" w:eastAsia="zh-CN" w:bidi="ar"/>
              </w:rPr>
              <w:t>优势：全周期慢病管理、临床数据深度整合、三端协同生态闭环</w:t>
            </w:r>
            <w:r>
              <w:rPr>
                <w:rStyle w:val="27"/>
                <w:rFonts w:hint="default" w:ascii="Segoe UI" w:hAnsi="Segoe UI" w:eastAsia="Segoe UI" w:cs="Segoe UI"/>
                <w:i w:val="0"/>
                <w:iCs w:val="0"/>
                <w:color w:val="auto"/>
                <w:sz w:val="21"/>
                <w:szCs w:val="21"/>
                <w:lang w:val="en-US" w:eastAsia="zh-CN" w:bidi="ar"/>
              </w:rPr>
              <w:t>125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550" w:hRule="atLeast"/>
        </w:trPr>
        <w:tc>
          <w:tcPr>
            <w:tcW w:w="962" w:type="pct"/>
            <w:vMerge w:val="continue"/>
            <w:tcBorders>
              <w:top w:val="nil"/>
              <w:left w:val="nil"/>
              <w:bottom w:val="nil"/>
              <w:right w:val="nil"/>
            </w:tcBorders>
            <w:shd w:val="clear" w:color="auto" w:fill="auto"/>
            <w:vAlign w:val="center"/>
          </w:tcPr>
          <w:p>
            <w:pPr>
              <w:keepNext w:val="0"/>
              <w:keepLines w:val="0"/>
              <w:suppressLineNumbers w:val="0"/>
              <w:spacing w:before="0" w:beforeAutospacing="0" w:after="0" w:afterAutospacing="0"/>
              <w:ind w:left="0" w:right="0"/>
              <w:rPr>
                <w:rFonts w:hint="default" w:ascii="Times New Roman" w:hAnsi="Times New Roman" w:cs="Times New Roman"/>
                <w:color w:val="auto"/>
                <w:sz w:val="21"/>
                <w:szCs w:val="21"/>
              </w:rPr>
            </w:pPr>
          </w:p>
        </w:tc>
        <w:tc>
          <w:tcPr>
            <w:tcW w:w="1035" w:type="pct"/>
            <w:vMerge w:val="continue"/>
            <w:tcBorders>
              <w:top w:val="nil"/>
              <w:left w:val="nil"/>
              <w:bottom w:val="nil"/>
              <w:right w:val="nil"/>
            </w:tcBorders>
            <w:shd w:val="clear" w:color="auto" w:fill="auto"/>
            <w:vAlign w:val="center"/>
          </w:tcPr>
          <w:p>
            <w:pPr>
              <w:keepNext w:val="0"/>
              <w:keepLines w:val="0"/>
              <w:suppressLineNumbers w:val="0"/>
              <w:spacing w:before="0" w:beforeAutospacing="0" w:after="0" w:afterAutospacing="0"/>
              <w:ind w:left="0" w:right="0"/>
              <w:rPr>
                <w:rFonts w:hint="default" w:ascii="Times New Roman" w:hAnsi="Times New Roman" w:cs="Times New Roman"/>
                <w:color w:val="auto"/>
                <w:sz w:val="21"/>
                <w:szCs w:val="21"/>
              </w:rPr>
            </w:pPr>
          </w:p>
        </w:tc>
        <w:tc>
          <w:tcPr>
            <w:tcW w:w="1285" w:type="pct"/>
            <w:tcBorders>
              <w:top w:val="nil"/>
              <w:left w:val="nil"/>
              <w:bottom w:val="nil"/>
              <w:right w:val="nil"/>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default" w:ascii="Segoe UI" w:hAnsi="Segoe UI" w:eastAsia="Segoe UI" w:cs="Segoe UI"/>
                <w:i w:val="0"/>
                <w:iCs w:val="0"/>
                <w:color w:val="auto"/>
                <w:sz w:val="21"/>
                <w:szCs w:val="21"/>
              </w:rPr>
            </w:pPr>
            <w:r>
              <w:rPr>
                <w:rFonts w:hint="default" w:ascii="Segoe UI" w:hAnsi="Segoe UI" w:eastAsia="Segoe UI" w:cs="Segoe UI"/>
                <w:i w:val="0"/>
                <w:iCs w:val="0"/>
                <w:color w:val="auto"/>
                <w:kern w:val="0"/>
                <w:sz w:val="21"/>
                <w:szCs w:val="21"/>
                <w:lang w:val="en-US" w:eastAsia="zh-CN" w:bidi="ar"/>
              </w:rPr>
              <w:t>覆盖电子病历、药品知识库</w:t>
            </w:r>
          </w:p>
        </w:tc>
        <w:tc>
          <w:tcPr>
            <w:tcW w:w="779" w:type="pct"/>
            <w:tcBorders>
              <w:top w:val="nil"/>
              <w:left w:val="nil"/>
              <w:bottom w:val="nil"/>
              <w:right w:val="nil"/>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default" w:ascii="Segoe UI" w:hAnsi="Segoe UI" w:eastAsia="Segoe UI" w:cs="Segoe UI"/>
                <w:i w:val="0"/>
                <w:iCs w:val="0"/>
                <w:color w:val="auto"/>
                <w:sz w:val="21"/>
                <w:szCs w:val="21"/>
              </w:rPr>
            </w:pPr>
            <w:r>
              <w:rPr>
                <w:rFonts w:hint="default" w:ascii="Segoe UI" w:hAnsi="Segoe UI" w:eastAsia="Segoe UI" w:cs="Segoe UI"/>
                <w:i w:val="0"/>
                <w:iCs w:val="0"/>
                <w:color w:val="auto"/>
                <w:kern w:val="0"/>
                <w:sz w:val="21"/>
                <w:szCs w:val="21"/>
                <w:lang w:val="en-US" w:eastAsia="zh-CN" w:bidi="ar"/>
              </w:rPr>
              <w:t>年在线问诊量超2亿次</w:t>
            </w:r>
          </w:p>
        </w:tc>
        <w:tc>
          <w:tcPr>
            <w:tcW w:w="937" w:type="pct"/>
            <w:tcBorders>
              <w:top w:val="nil"/>
              <w:left w:val="nil"/>
              <w:bottom w:val="nil"/>
              <w:right w:val="nil"/>
            </w:tcBorders>
            <w:shd w:val="clear" w:color="auto" w:fill="auto"/>
            <w:noWrap/>
            <w:vAlign w:val="center"/>
          </w:tcPr>
          <w:p>
            <w:pPr>
              <w:keepNext w:val="0"/>
              <w:keepLines w:val="0"/>
              <w:widowControl w:val="0"/>
              <w:suppressLineNumbers w:val="0"/>
              <w:spacing w:before="0" w:beforeAutospacing="0" w:after="0" w:afterAutospacing="0"/>
              <w:ind w:left="0" w:right="0"/>
              <w:jc w:val="both"/>
              <w:rPr>
                <w:rFonts w:hint="eastAsia" w:ascii="宋体" w:hAnsi="宋体" w:eastAsia="宋体" w:cs="宋体"/>
                <w:i w:val="0"/>
                <w:iCs w:val="0"/>
                <w:color w:val="auto"/>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00" w:hRule="atLeast"/>
        </w:trPr>
        <w:tc>
          <w:tcPr>
            <w:tcW w:w="962" w:type="pct"/>
            <w:vMerge w:val="restart"/>
            <w:tcBorders>
              <w:top w:val="nil"/>
              <w:left w:val="nil"/>
              <w:bottom w:val="nil"/>
              <w:right w:val="nil"/>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default" w:ascii="Segoe UI" w:hAnsi="Segoe UI" w:eastAsia="Segoe UI" w:cs="Segoe UI"/>
                <w:b/>
                <w:bCs/>
                <w:i w:val="0"/>
                <w:iCs w:val="0"/>
                <w:color w:val="auto"/>
                <w:sz w:val="21"/>
                <w:szCs w:val="21"/>
              </w:rPr>
            </w:pPr>
            <w:r>
              <w:rPr>
                <w:rFonts w:hint="default" w:ascii="Segoe UI" w:hAnsi="Segoe UI" w:eastAsia="Segoe UI" w:cs="Segoe UI"/>
                <w:b/>
                <w:bCs/>
                <w:i w:val="0"/>
                <w:iCs w:val="0"/>
                <w:color w:val="auto"/>
                <w:kern w:val="0"/>
                <w:sz w:val="21"/>
                <w:szCs w:val="21"/>
                <w:lang w:val="en-US" w:eastAsia="zh-CN" w:bidi="ar"/>
              </w:rPr>
              <w:t>支付宝AI健康管家</w:t>
            </w:r>
          </w:p>
        </w:tc>
        <w:tc>
          <w:tcPr>
            <w:tcW w:w="1035" w:type="pct"/>
            <w:vMerge w:val="restart"/>
            <w:tcBorders>
              <w:top w:val="nil"/>
              <w:left w:val="nil"/>
              <w:bottom w:val="nil"/>
              <w:right w:val="nil"/>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default" w:ascii="Segoe UI" w:hAnsi="Segoe UI" w:eastAsia="Segoe UI" w:cs="Segoe UI"/>
                <w:i w:val="0"/>
                <w:iCs w:val="0"/>
                <w:color w:val="auto"/>
                <w:sz w:val="21"/>
                <w:szCs w:val="21"/>
              </w:rPr>
            </w:pPr>
            <w:r>
              <w:rPr>
                <w:rFonts w:hint="default" w:ascii="Segoe UI" w:hAnsi="Segoe UI" w:eastAsia="Segoe UI" w:cs="Segoe UI"/>
                <w:i w:val="0"/>
                <w:iCs w:val="0"/>
                <w:color w:val="auto"/>
                <w:kern w:val="0"/>
                <w:sz w:val="21"/>
                <w:szCs w:val="21"/>
                <w:lang w:val="en-US" w:eastAsia="zh-CN" w:bidi="ar"/>
              </w:rPr>
              <w:t>报告解读、医保咨询、陪诊导航、毛发检测等30+服务</w:t>
            </w:r>
          </w:p>
        </w:tc>
        <w:tc>
          <w:tcPr>
            <w:tcW w:w="1285" w:type="pct"/>
            <w:tcBorders>
              <w:top w:val="nil"/>
              <w:left w:val="nil"/>
              <w:bottom w:val="nil"/>
              <w:right w:val="nil"/>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default" w:ascii="Segoe UI" w:hAnsi="Segoe UI" w:eastAsia="Segoe UI" w:cs="Segoe UI"/>
                <w:i w:val="0"/>
                <w:iCs w:val="0"/>
                <w:color w:val="auto"/>
                <w:sz w:val="21"/>
                <w:szCs w:val="21"/>
              </w:rPr>
            </w:pPr>
            <w:r>
              <w:rPr>
                <w:rFonts w:hint="default" w:ascii="Segoe UI" w:hAnsi="Segoe UI" w:eastAsia="Segoe UI" w:cs="Segoe UI"/>
                <w:i w:val="0"/>
                <w:iCs w:val="0"/>
                <w:color w:val="auto"/>
                <w:kern w:val="0"/>
                <w:sz w:val="21"/>
                <w:szCs w:val="21"/>
                <w:lang w:val="en-US" w:eastAsia="zh-CN" w:bidi="ar"/>
              </w:rPr>
              <w:t>蚂蚁百灵大模型</w:t>
            </w:r>
          </w:p>
        </w:tc>
        <w:tc>
          <w:tcPr>
            <w:tcW w:w="779" w:type="pct"/>
            <w:tcBorders>
              <w:top w:val="nil"/>
              <w:left w:val="nil"/>
              <w:bottom w:val="nil"/>
              <w:right w:val="nil"/>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default" w:ascii="Segoe UI" w:hAnsi="Segoe UI" w:eastAsia="Segoe UI" w:cs="Segoe UI"/>
                <w:i w:val="0"/>
                <w:iCs w:val="0"/>
                <w:color w:val="auto"/>
                <w:sz w:val="21"/>
                <w:szCs w:val="21"/>
              </w:rPr>
            </w:pPr>
            <w:r>
              <w:rPr>
                <w:rFonts w:hint="default" w:ascii="Segoe UI" w:hAnsi="Segoe UI" w:eastAsia="Segoe UI" w:cs="Segoe UI"/>
                <w:i w:val="0"/>
                <w:iCs w:val="0"/>
                <w:color w:val="auto"/>
                <w:kern w:val="0"/>
                <w:sz w:val="21"/>
                <w:szCs w:val="21"/>
                <w:lang w:val="en-US" w:eastAsia="zh-CN" w:bidi="ar"/>
              </w:rPr>
              <w:t>合作20+医疗机构（如上海仁济医院）</w:t>
            </w:r>
          </w:p>
        </w:tc>
        <w:tc>
          <w:tcPr>
            <w:tcW w:w="937" w:type="pct"/>
            <w:tcBorders>
              <w:top w:val="nil"/>
              <w:left w:val="nil"/>
              <w:bottom w:val="nil"/>
              <w:right w:val="nil"/>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default" w:ascii="Segoe UI" w:hAnsi="Segoe UI" w:eastAsia="Segoe UI" w:cs="Segoe UI"/>
                <w:b/>
                <w:bCs/>
                <w:i w:val="0"/>
                <w:iCs w:val="0"/>
                <w:color w:val="auto"/>
                <w:sz w:val="21"/>
                <w:szCs w:val="21"/>
              </w:rPr>
            </w:pPr>
            <w:r>
              <w:rPr>
                <w:rFonts w:hint="default" w:ascii="Segoe UI" w:hAnsi="Segoe UI" w:eastAsia="Segoe UI" w:cs="Segoe UI"/>
                <w:b/>
                <w:bCs/>
                <w:i w:val="0"/>
                <w:iCs w:val="0"/>
                <w:color w:val="auto"/>
                <w:kern w:val="0"/>
                <w:sz w:val="21"/>
                <w:szCs w:val="21"/>
                <w:lang w:val="en-US" w:eastAsia="zh-CN" w:bidi="ar"/>
              </w:rPr>
              <w:t>普通用户/基层医疗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0" w:hRule="atLeast"/>
        </w:trPr>
        <w:tc>
          <w:tcPr>
            <w:tcW w:w="962" w:type="pct"/>
            <w:vMerge w:val="continue"/>
            <w:tcBorders>
              <w:top w:val="nil"/>
              <w:left w:val="nil"/>
              <w:bottom w:val="nil"/>
              <w:right w:val="nil"/>
            </w:tcBorders>
            <w:shd w:val="clear" w:color="auto" w:fill="auto"/>
            <w:vAlign w:val="center"/>
          </w:tcPr>
          <w:p>
            <w:pPr>
              <w:keepNext w:val="0"/>
              <w:keepLines w:val="0"/>
              <w:suppressLineNumbers w:val="0"/>
              <w:spacing w:before="0" w:beforeAutospacing="0" w:after="0" w:afterAutospacing="0"/>
              <w:ind w:left="0" w:right="0"/>
              <w:rPr>
                <w:rFonts w:hint="default" w:ascii="Times New Roman" w:hAnsi="Times New Roman" w:cs="Times New Roman"/>
                <w:color w:val="auto"/>
                <w:sz w:val="21"/>
                <w:szCs w:val="21"/>
              </w:rPr>
            </w:pPr>
          </w:p>
        </w:tc>
        <w:tc>
          <w:tcPr>
            <w:tcW w:w="1035" w:type="pct"/>
            <w:vMerge w:val="continue"/>
            <w:tcBorders>
              <w:top w:val="nil"/>
              <w:left w:val="nil"/>
              <w:bottom w:val="nil"/>
              <w:right w:val="nil"/>
            </w:tcBorders>
            <w:shd w:val="clear" w:color="auto" w:fill="auto"/>
            <w:vAlign w:val="center"/>
          </w:tcPr>
          <w:p>
            <w:pPr>
              <w:keepNext w:val="0"/>
              <w:keepLines w:val="0"/>
              <w:suppressLineNumbers w:val="0"/>
              <w:spacing w:before="0" w:beforeAutospacing="0" w:after="0" w:afterAutospacing="0"/>
              <w:ind w:left="0" w:right="0"/>
              <w:rPr>
                <w:rFonts w:hint="default" w:ascii="Times New Roman" w:hAnsi="Times New Roman" w:cs="Times New Roman"/>
                <w:color w:val="auto"/>
                <w:sz w:val="21"/>
                <w:szCs w:val="21"/>
              </w:rPr>
            </w:pPr>
          </w:p>
        </w:tc>
        <w:tc>
          <w:tcPr>
            <w:tcW w:w="1285" w:type="pct"/>
            <w:tcBorders>
              <w:top w:val="nil"/>
              <w:left w:val="nil"/>
              <w:bottom w:val="nil"/>
              <w:right w:val="nil"/>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default" w:ascii="Segoe UI" w:hAnsi="Segoe UI" w:eastAsia="Segoe UI" w:cs="Segoe UI"/>
                <w:i w:val="0"/>
                <w:iCs w:val="0"/>
                <w:color w:val="auto"/>
                <w:sz w:val="21"/>
                <w:szCs w:val="21"/>
              </w:rPr>
            </w:pPr>
            <w:r>
              <w:rPr>
                <w:rFonts w:hint="default" w:ascii="Segoe UI" w:hAnsi="Segoe UI" w:eastAsia="Segoe UI" w:cs="Segoe UI"/>
                <w:i w:val="0"/>
                <w:iCs w:val="0"/>
                <w:color w:val="auto"/>
                <w:kern w:val="0"/>
                <w:sz w:val="21"/>
                <w:szCs w:val="21"/>
                <w:lang w:val="en-US" w:eastAsia="zh-CN" w:bidi="ar"/>
              </w:rPr>
              <w:t>多模态数据整合（医疗+消费行为）</w:t>
            </w:r>
          </w:p>
        </w:tc>
        <w:tc>
          <w:tcPr>
            <w:tcW w:w="779" w:type="pct"/>
            <w:tcBorders>
              <w:top w:val="nil"/>
              <w:left w:val="nil"/>
              <w:bottom w:val="nil"/>
              <w:right w:val="nil"/>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default" w:ascii="Segoe UI" w:hAnsi="Segoe UI" w:eastAsia="Segoe UI" w:cs="Segoe UI"/>
                <w:i w:val="0"/>
                <w:iCs w:val="0"/>
                <w:color w:val="auto"/>
                <w:sz w:val="21"/>
                <w:szCs w:val="21"/>
              </w:rPr>
            </w:pPr>
            <w:r>
              <w:rPr>
                <w:rFonts w:hint="default" w:ascii="Segoe UI" w:hAnsi="Segoe UI" w:eastAsia="Segoe UI" w:cs="Segoe UI"/>
                <w:i w:val="0"/>
                <w:iCs w:val="0"/>
                <w:color w:val="auto"/>
                <w:kern w:val="0"/>
                <w:sz w:val="21"/>
                <w:szCs w:val="21"/>
                <w:lang w:val="en-US" w:eastAsia="zh-CN" w:bidi="ar"/>
              </w:rPr>
              <w:t>依赖支付宝生态数据</w:t>
            </w:r>
          </w:p>
        </w:tc>
        <w:tc>
          <w:tcPr>
            <w:tcW w:w="937" w:type="pct"/>
            <w:tcBorders>
              <w:top w:val="nil"/>
              <w:left w:val="nil"/>
              <w:bottom w:val="nil"/>
              <w:right w:val="nil"/>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default" w:ascii="Segoe UI" w:hAnsi="Segoe UI" w:eastAsia="Segoe UI" w:cs="Segoe UI"/>
                <w:i w:val="0"/>
                <w:iCs w:val="0"/>
                <w:color w:val="auto"/>
                <w:sz w:val="21"/>
                <w:szCs w:val="21"/>
              </w:rPr>
            </w:pPr>
            <w:r>
              <w:rPr>
                <w:rFonts w:hint="default" w:ascii="Segoe UI" w:hAnsi="Segoe UI" w:eastAsia="Segoe UI" w:cs="Segoe UI"/>
                <w:i w:val="0"/>
                <w:iCs w:val="0"/>
                <w:color w:val="auto"/>
                <w:kern w:val="0"/>
                <w:sz w:val="21"/>
                <w:szCs w:val="21"/>
                <w:lang w:val="en-US" w:eastAsia="zh-CN" w:bidi="ar"/>
              </w:rPr>
              <w:t>优势：轻量化服务、操作便捷、快速响应日常需求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850" w:hRule="atLeast"/>
        </w:trPr>
        <w:tc>
          <w:tcPr>
            <w:tcW w:w="962" w:type="pct"/>
            <w:vMerge w:val="restart"/>
            <w:tcBorders>
              <w:top w:val="nil"/>
              <w:left w:val="nil"/>
              <w:bottom w:val="nil"/>
              <w:right w:val="nil"/>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default" w:ascii="Segoe UI" w:hAnsi="Segoe UI" w:eastAsia="Segoe UI" w:cs="Segoe UI"/>
                <w:b/>
                <w:bCs/>
                <w:i w:val="0"/>
                <w:iCs w:val="0"/>
                <w:color w:val="auto"/>
                <w:sz w:val="21"/>
                <w:szCs w:val="21"/>
              </w:rPr>
            </w:pPr>
            <w:r>
              <w:rPr>
                <w:rFonts w:hint="default" w:ascii="Segoe UI" w:hAnsi="Segoe UI" w:eastAsia="Segoe UI" w:cs="Segoe UI"/>
                <w:b/>
                <w:bCs/>
                <w:i w:val="0"/>
                <w:iCs w:val="0"/>
                <w:color w:val="auto"/>
                <w:kern w:val="0"/>
                <w:sz w:val="21"/>
                <w:szCs w:val="21"/>
                <w:lang w:val="en-US" w:eastAsia="zh-CN" w:bidi="ar"/>
              </w:rPr>
              <w:t>蓝区健康助理</w:t>
            </w:r>
          </w:p>
        </w:tc>
        <w:tc>
          <w:tcPr>
            <w:tcW w:w="1035" w:type="pct"/>
            <w:vMerge w:val="restart"/>
            <w:tcBorders>
              <w:top w:val="nil"/>
              <w:left w:val="nil"/>
              <w:bottom w:val="nil"/>
              <w:right w:val="nil"/>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default" w:ascii="Segoe UI" w:hAnsi="Segoe UI" w:eastAsia="Segoe UI" w:cs="Segoe UI"/>
                <w:i w:val="0"/>
                <w:iCs w:val="0"/>
                <w:color w:val="auto"/>
                <w:sz w:val="21"/>
                <w:szCs w:val="21"/>
              </w:rPr>
            </w:pPr>
            <w:r>
              <w:rPr>
                <w:rFonts w:hint="default" w:ascii="Segoe UI" w:hAnsi="Segoe UI" w:eastAsia="Segoe UI" w:cs="Segoe UI"/>
                <w:i w:val="0"/>
                <w:iCs w:val="0"/>
                <w:color w:val="auto"/>
                <w:kern w:val="0"/>
                <w:sz w:val="21"/>
                <w:szCs w:val="21"/>
                <w:lang w:val="en-US" w:eastAsia="zh-CN" w:bidi="ar"/>
              </w:rPr>
              <w:t>动态健康监测（心率、睡眠、活动）、生物年龄计算、个性化健康建议</w:t>
            </w:r>
          </w:p>
        </w:tc>
        <w:tc>
          <w:tcPr>
            <w:tcW w:w="1285" w:type="pct"/>
            <w:tcBorders>
              <w:top w:val="nil"/>
              <w:left w:val="nil"/>
              <w:bottom w:val="nil"/>
              <w:right w:val="nil"/>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default" w:ascii="Segoe UI" w:hAnsi="Segoe UI" w:eastAsia="Segoe UI" w:cs="Segoe UI"/>
                <w:i w:val="0"/>
                <w:iCs w:val="0"/>
                <w:color w:val="auto"/>
                <w:sz w:val="21"/>
                <w:szCs w:val="21"/>
              </w:rPr>
            </w:pPr>
            <w:r>
              <w:rPr>
                <w:rFonts w:hint="default" w:ascii="Segoe UI" w:hAnsi="Segoe UI" w:eastAsia="Segoe UI" w:cs="Segoe UI"/>
                <w:i w:val="0"/>
                <w:iCs w:val="0"/>
                <w:color w:val="auto"/>
                <w:kern w:val="0"/>
                <w:sz w:val="21"/>
                <w:szCs w:val="21"/>
                <w:lang w:val="en-US" w:eastAsia="zh-CN" w:bidi="ar"/>
              </w:rPr>
              <w:t>LifeQ云端算法（系统生物学分析）</w:t>
            </w:r>
          </w:p>
        </w:tc>
        <w:tc>
          <w:tcPr>
            <w:tcW w:w="779" w:type="pct"/>
            <w:tcBorders>
              <w:top w:val="nil"/>
              <w:left w:val="nil"/>
              <w:bottom w:val="nil"/>
              <w:right w:val="nil"/>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default" w:ascii="Segoe UI" w:hAnsi="Segoe UI" w:eastAsia="Segoe UI" w:cs="Segoe UI"/>
                <w:i w:val="0"/>
                <w:iCs w:val="0"/>
                <w:color w:val="auto"/>
                <w:sz w:val="21"/>
                <w:szCs w:val="21"/>
              </w:rPr>
            </w:pPr>
            <w:r>
              <w:rPr>
                <w:rFonts w:hint="default" w:ascii="Segoe UI" w:hAnsi="Segoe UI" w:eastAsia="Segoe UI" w:cs="Segoe UI"/>
                <w:i w:val="0"/>
                <w:iCs w:val="0"/>
                <w:color w:val="auto"/>
                <w:kern w:val="0"/>
                <w:sz w:val="21"/>
                <w:szCs w:val="21"/>
                <w:lang w:val="en-US" w:eastAsia="zh-CN" w:bidi="ar"/>
              </w:rPr>
              <w:t>覆盖200+生理指标</w:t>
            </w:r>
          </w:p>
        </w:tc>
        <w:tc>
          <w:tcPr>
            <w:tcW w:w="937" w:type="pct"/>
            <w:tcBorders>
              <w:top w:val="nil"/>
              <w:left w:val="nil"/>
              <w:bottom w:val="nil"/>
              <w:right w:val="nil"/>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default" w:ascii="Segoe UI" w:hAnsi="Segoe UI" w:eastAsia="Segoe UI" w:cs="Segoe UI"/>
                <w:b/>
                <w:bCs/>
                <w:i w:val="0"/>
                <w:iCs w:val="0"/>
                <w:color w:val="auto"/>
                <w:sz w:val="21"/>
                <w:szCs w:val="21"/>
              </w:rPr>
            </w:pPr>
            <w:r>
              <w:rPr>
                <w:rFonts w:hint="default" w:ascii="Segoe UI" w:hAnsi="Segoe UI" w:eastAsia="Segoe UI" w:cs="Segoe UI"/>
                <w:b/>
                <w:bCs/>
                <w:i w:val="0"/>
                <w:iCs w:val="0"/>
                <w:color w:val="auto"/>
                <w:kern w:val="0"/>
                <w:sz w:val="21"/>
                <w:szCs w:val="21"/>
                <w:lang w:val="en-US" w:eastAsia="zh-CN" w:bidi="ar"/>
              </w:rPr>
              <w:t>健康意识强的个人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0" w:hRule="atLeast"/>
        </w:trPr>
        <w:tc>
          <w:tcPr>
            <w:tcW w:w="962" w:type="pct"/>
            <w:vMerge w:val="continue"/>
            <w:tcBorders>
              <w:top w:val="nil"/>
              <w:left w:val="nil"/>
              <w:bottom w:val="nil"/>
              <w:right w:val="nil"/>
            </w:tcBorders>
            <w:shd w:val="clear" w:color="auto" w:fill="auto"/>
            <w:vAlign w:val="center"/>
          </w:tcPr>
          <w:p>
            <w:pPr>
              <w:keepNext w:val="0"/>
              <w:keepLines w:val="0"/>
              <w:suppressLineNumbers w:val="0"/>
              <w:spacing w:before="0" w:beforeAutospacing="0" w:after="0" w:afterAutospacing="0"/>
              <w:ind w:left="0" w:right="0"/>
              <w:rPr>
                <w:rFonts w:hint="default" w:ascii="Times New Roman" w:hAnsi="Times New Roman" w:cs="Times New Roman"/>
                <w:color w:val="auto"/>
                <w:sz w:val="21"/>
                <w:szCs w:val="21"/>
              </w:rPr>
            </w:pPr>
          </w:p>
        </w:tc>
        <w:tc>
          <w:tcPr>
            <w:tcW w:w="1035" w:type="pct"/>
            <w:vMerge w:val="continue"/>
            <w:tcBorders>
              <w:top w:val="nil"/>
              <w:left w:val="nil"/>
              <w:bottom w:val="nil"/>
              <w:right w:val="nil"/>
            </w:tcBorders>
            <w:shd w:val="clear" w:color="auto" w:fill="auto"/>
            <w:vAlign w:val="center"/>
          </w:tcPr>
          <w:p>
            <w:pPr>
              <w:keepNext w:val="0"/>
              <w:keepLines w:val="0"/>
              <w:suppressLineNumbers w:val="0"/>
              <w:spacing w:before="0" w:beforeAutospacing="0" w:after="0" w:afterAutospacing="0"/>
              <w:ind w:left="0" w:right="0"/>
              <w:rPr>
                <w:rFonts w:hint="default" w:ascii="Times New Roman" w:hAnsi="Times New Roman" w:cs="Times New Roman"/>
                <w:color w:val="auto"/>
                <w:sz w:val="21"/>
                <w:szCs w:val="21"/>
              </w:rPr>
            </w:pPr>
          </w:p>
        </w:tc>
        <w:tc>
          <w:tcPr>
            <w:tcW w:w="1285" w:type="pct"/>
            <w:tcBorders>
              <w:top w:val="nil"/>
              <w:left w:val="nil"/>
              <w:bottom w:val="nil"/>
              <w:right w:val="nil"/>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default" w:ascii="Segoe UI" w:hAnsi="Segoe UI" w:eastAsia="Segoe UI" w:cs="Segoe UI"/>
                <w:i w:val="0"/>
                <w:iCs w:val="0"/>
                <w:color w:val="auto"/>
                <w:sz w:val="21"/>
                <w:szCs w:val="21"/>
              </w:rPr>
            </w:pPr>
            <w:r>
              <w:rPr>
                <w:rFonts w:hint="default" w:ascii="Segoe UI" w:hAnsi="Segoe UI" w:eastAsia="Segoe UI" w:cs="Segoe UI"/>
                <w:i w:val="0"/>
                <w:iCs w:val="0"/>
                <w:color w:val="auto"/>
                <w:kern w:val="0"/>
                <w:sz w:val="21"/>
                <w:szCs w:val="21"/>
                <w:lang w:val="en-US" w:eastAsia="zh-CN" w:bidi="ar"/>
              </w:rPr>
              <w:t>高精度传感器+AI Agent</w:t>
            </w:r>
          </w:p>
        </w:tc>
        <w:tc>
          <w:tcPr>
            <w:tcW w:w="779" w:type="pct"/>
            <w:tcBorders>
              <w:top w:val="nil"/>
              <w:left w:val="nil"/>
              <w:bottom w:val="nil"/>
              <w:right w:val="nil"/>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default" w:ascii="Segoe UI" w:hAnsi="Segoe UI" w:eastAsia="Segoe UI" w:cs="Segoe UI"/>
                <w:i w:val="0"/>
                <w:iCs w:val="0"/>
                <w:color w:val="auto"/>
                <w:sz w:val="21"/>
                <w:szCs w:val="21"/>
              </w:rPr>
            </w:pPr>
            <w:r>
              <w:rPr>
                <w:rFonts w:hint="default" w:ascii="Segoe UI" w:hAnsi="Segoe UI" w:eastAsia="Segoe UI" w:cs="Segoe UI"/>
                <w:i w:val="0"/>
                <w:iCs w:val="0"/>
                <w:color w:val="auto"/>
                <w:kern w:val="0"/>
                <w:sz w:val="21"/>
                <w:szCs w:val="21"/>
                <w:lang w:val="en-US" w:eastAsia="zh-CN" w:bidi="ar"/>
              </w:rPr>
              <w:t>支持长期数据追踪与趋势预测</w:t>
            </w:r>
          </w:p>
        </w:tc>
        <w:tc>
          <w:tcPr>
            <w:tcW w:w="937" w:type="pct"/>
            <w:tcBorders>
              <w:top w:val="nil"/>
              <w:left w:val="nil"/>
              <w:bottom w:val="nil"/>
              <w:right w:val="nil"/>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default" w:ascii="Segoe UI" w:hAnsi="Segoe UI" w:eastAsia="Segoe UI" w:cs="Segoe UI"/>
                <w:i w:val="0"/>
                <w:iCs w:val="0"/>
                <w:color w:val="auto"/>
                <w:sz w:val="21"/>
                <w:szCs w:val="21"/>
              </w:rPr>
            </w:pPr>
            <w:r>
              <w:rPr>
                <w:rFonts w:hint="default" w:ascii="Segoe UI" w:hAnsi="Segoe UI" w:eastAsia="Segoe UI" w:cs="Segoe UI"/>
                <w:i w:val="0"/>
                <w:iCs w:val="0"/>
                <w:color w:val="auto"/>
                <w:kern w:val="0"/>
                <w:sz w:val="21"/>
                <w:szCs w:val="21"/>
                <w:lang w:val="en-US" w:eastAsia="zh-CN" w:bidi="ar"/>
              </w:rPr>
              <w:t>优势：开源可定制化、跨生命周期健康图谱、隐私保护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50" w:hRule="atLeast"/>
        </w:trPr>
        <w:tc>
          <w:tcPr>
            <w:tcW w:w="962" w:type="pct"/>
            <w:vMerge w:val="continue"/>
            <w:tcBorders>
              <w:top w:val="nil"/>
              <w:left w:val="nil"/>
              <w:bottom w:val="nil"/>
              <w:right w:val="nil"/>
            </w:tcBorders>
            <w:shd w:val="clear" w:color="auto" w:fill="auto"/>
            <w:vAlign w:val="center"/>
          </w:tcPr>
          <w:p>
            <w:pPr>
              <w:keepNext w:val="0"/>
              <w:keepLines w:val="0"/>
              <w:suppressLineNumbers w:val="0"/>
              <w:spacing w:before="0" w:beforeAutospacing="0" w:after="0" w:afterAutospacing="0"/>
              <w:ind w:left="0" w:right="0"/>
              <w:rPr>
                <w:rFonts w:hint="default" w:ascii="Times New Roman" w:hAnsi="Times New Roman" w:cs="Times New Roman"/>
                <w:color w:val="auto"/>
                <w:sz w:val="21"/>
                <w:szCs w:val="21"/>
              </w:rPr>
            </w:pPr>
          </w:p>
        </w:tc>
        <w:tc>
          <w:tcPr>
            <w:tcW w:w="1035" w:type="pct"/>
            <w:vMerge w:val="continue"/>
            <w:tcBorders>
              <w:top w:val="nil"/>
              <w:left w:val="nil"/>
              <w:bottom w:val="nil"/>
              <w:right w:val="nil"/>
            </w:tcBorders>
            <w:shd w:val="clear" w:color="auto" w:fill="auto"/>
            <w:vAlign w:val="center"/>
          </w:tcPr>
          <w:p>
            <w:pPr>
              <w:keepNext w:val="0"/>
              <w:keepLines w:val="0"/>
              <w:suppressLineNumbers w:val="0"/>
              <w:spacing w:before="0" w:beforeAutospacing="0" w:after="0" w:afterAutospacing="0"/>
              <w:ind w:left="0" w:right="0"/>
              <w:rPr>
                <w:rFonts w:hint="default" w:ascii="Times New Roman" w:hAnsi="Times New Roman" w:cs="Times New Roman"/>
                <w:color w:val="auto"/>
                <w:sz w:val="21"/>
                <w:szCs w:val="21"/>
              </w:rPr>
            </w:pPr>
          </w:p>
        </w:tc>
        <w:tc>
          <w:tcPr>
            <w:tcW w:w="1285" w:type="pct"/>
            <w:tcBorders>
              <w:top w:val="nil"/>
              <w:left w:val="nil"/>
              <w:bottom w:val="nil"/>
              <w:right w:val="nil"/>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default" w:ascii="Segoe UI" w:hAnsi="Segoe UI" w:eastAsia="Segoe UI" w:cs="Segoe UI"/>
                <w:i w:val="0"/>
                <w:iCs w:val="0"/>
                <w:color w:val="auto"/>
                <w:sz w:val="21"/>
                <w:szCs w:val="21"/>
              </w:rPr>
            </w:pPr>
            <w:r>
              <w:rPr>
                <w:rFonts w:hint="default" w:ascii="Segoe UI" w:hAnsi="Segoe UI" w:eastAsia="Segoe UI" w:cs="Segoe UI"/>
                <w:i w:val="0"/>
                <w:iCs w:val="0"/>
                <w:color w:val="auto"/>
                <w:kern w:val="0"/>
                <w:sz w:val="21"/>
                <w:szCs w:val="21"/>
                <w:lang w:val="en-US" w:eastAsia="zh-CN" w:bidi="ar"/>
              </w:rPr>
              <w:t>开源算法框架</w:t>
            </w:r>
          </w:p>
        </w:tc>
        <w:tc>
          <w:tcPr>
            <w:tcW w:w="779" w:type="pct"/>
            <w:tcBorders>
              <w:top w:val="nil"/>
              <w:left w:val="nil"/>
              <w:bottom w:val="nil"/>
              <w:right w:val="nil"/>
            </w:tcBorders>
            <w:shd w:val="clear" w:color="auto" w:fill="auto"/>
            <w:noWrap/>
            <w:vAlign w:val="center"/>
          </w:tcPr>
          <w:p>
            <w:pPr>
              <w:keepNext w:val="0"/>
              <w:keepLines w:val="0"/>
              <w:widowControl w:val="0"/>
              <w:suppressLineNumbers w:val="0"/>
              <w:spacing w:before="0" w:beforeAutospacing="0" w:after="0" w:afterAutospacing="0"/>
              <w:ind w:left="0" w:right="0"/>
              <w:jc w:val="both"/>
              <w:rPr>
                <w:rFonts w:hint="eastAsia" w:ascii="宋体" w:hAnsi="宋体" w:eastAsia="宋体" w:cs="宋体"/>
                <w:i w:val="0"/>
                <w:iCs w:val="0"/>
                <w:color w:val="auto"/>
                <w:sz w:val="21"/>
                <w:szCs w:val="21"/>
              </w:rPr>
            </w:pPr>
          </w:p>
        </w:tc>
        <w:tc>
          <w:tcPr>
            <w:tcW w:w="937" w:type="pct"/>
            <w:tcBorders>
              <w:top w:val="nil"/>
              <w:left w:val="nil"/>
              <w:bottom w:val="nil"/>
              <w:right w:val="nil"/>
            </w:tcBorders>
            <w:shd w:val="clear" w:color="auto" w:fill="auto"/>
            <w:noWrap/>
            <w:vAlign w:val="center"/>
          </w:tcPr>
          <w:p>
            <w:pPr>
              <w:keepNext w:val="0"/>
              <w:keepLines w:val="0"/>
              <w:widowControl w:val="0"/>
              <w:suppressLineNumbers w:val="0"/>
              <w:spacing w:before="0" w:beforeAutospacing="0" w:after="0" w:afterAutospacing="0"/>
              <w:ind w:left="0" w:right="0"/>
              <w:jc w:val="both"/>
              <w:rPr>
                <w:rFonts w:hint="eastAsia" w:ascii="宋体" w:hAnsi="宋体" w:eastAsia="宋体" w:cs="宋体"/>
                <w:i w:val="0"/>
                <w:iCs w:val="0"/>
                <w:color w:val="auto"/>
                <w:sz w:val="21"/>
                <w:szCs w:val="21"/>
              </w:rPr>
            </w:pPr>
          </w:p>
        </w:tc>
      </w:tr>
    </w:tbl>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 xml:space="preserve"> </w:t>
      </w:r>
    </w:p>
    <w:p>
      <w:pPr>
        <w:pStyle w:val="2"/>
        <w:bidi w:val="0"/>
        <w:rPr>
          <w:rFonts w:hint="eastAsia"/>
        </w:rPr>
      </w:pPr>
      <w:bookmarkStart w:id="18" w:name="_Toc7432"/>
      <w:bookmarkStart w:id="19" w:name="heading_7"/>
      <w:r>
        <w:rPr>
          <w:rFonts w:hint="eastAsia"/>
          <w:lang w:val="en-US" w:eastAsia="zh-CN"/>
        </w:rPr>
        <w:t>产品设计</w:t>
      </w:r>
      <w:bookmarkEnd w:id="18"/>
      <w:bookmarkEnd w:id="19"/>
    </w:p>
    <w:p>
      <w:pPr>
        <w:pStyle w:val="3"/>
        <w:bidi w:val="0"/>
        <w:rPr>
          <w:rFonts w:hint="eastAsia"/>
          <w:sz w:val="21"/>
          <w:szCs w:val="21"/>
        </w:rPr>
      </w:pPr>
      <w:bookmarkStart w:id="20" w:name="_Toc28969"/>
      <w:r>
        <w:rPr>
          <w:rFonts w:hint="eastAsia"/>
          <w:sz w:val="21"/>
          <w:szCs w:val="21"/>
          <w:lang w:val="en-US" w:eastAsia="zh-CN"/>
        </w:rPr>
        <w:t>项目产品及服务</w:t>
      </w:r>
      <w:bookmarkEnd w:id="20"/>
      <w:r>
        <w:rPr>
          <w:rFonts w:hint="eastAsia"/>
          <w:sz w:val="21"/>
          <w:szCs w:val="21"/>
          <w:lang w:val="en-US" w:eastAsia="zh-CN"/>
        </w:rPr>
        <w:tab/>
      </w:r>
    </w:p>
    <w:p>
      <w:pPr>
        <w:pStyle w:val="4"/>
        <w:bidi w:val="0"/>
        <w:ind w:left="283" w:leftChars="0" w:hanging="283" w:firstLineChars="0"/>
        <w:outlineLvl w:val="9"/>
        <w:rPr>
          <w:rFonts w:hint="eastAsia"/>
          <w:sz w:val="21"/>
          <w:szCs w:val="21"/>
        </w:rPr>
      </w:pPr>
      <w:r>
        <w:rPr>
          <w:rFonts w:hint="eastAsia"/>
          <w:sz w:val="21"/>
          <w:szCs w:val="21"/>
          <w:lang w:val="en-US" w:eastAsia="zh-CN"/>
        </w:rPr>
        <w:t>登录界面</w:t>
      </w:r>
      <w:r>
        <w:rPr>
          <w:rFonts w:hint="default"/>
          <w:sz w:val="21"/>
          <w:szCs w:val="21"/>
          <w:lang w:val="en-US" w:eastAsia="zh-CN"/>
        </w:rPr>
        <w:drawing>
          <wp:inline distT="0" distB="0" distL="114300" distR="114300">
            <wp:extent cx="5267325" cy="2905125"/>
            <wp:effectExtent l="0" t="0" r="3175" b="3175"/>
            <wp:docPr id="1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descr="IMG_258"/>
                    <pic:cNvPicPr>
                      <a:picLocks noChangeAspect="1"/>
                    </pic:cNvPicPr>
                  </pic:nvPicPr>
                  <pic:blipFill>
                    <a:blip r:embed="rId10"/>
                    <a:stretch>
                      <a:fillRect/>
                    </a:stretch>
                  </pic:blipFill>
                  <pic:spPr>
                    <a:xfrm>
                      <a:off x="0" y="0"/>
                      <a:ext cx="5267325" cy="2905125"/>
                    </a:xfrm>
                    <a:prstGeom prst="rect">
                      <a:avLst/>
                    </a:prstGeom>
                    <a:noFill/>
                    <a:ln w="9525">
                      <a:noFill/>
                    </a:ln>
                  </pic:spPr>
                </pic:pic>
              </a:graphicData>
            </a:graphic>
          </wp:inline>
        </w:drawing>
      </w:r>
    </w:p>
    <w:p>
      <w:pPr>
        <w:bidi w:val="0"/>
        <w:rPr>
          <w:rFonts w:hint="eastAsia"/>
          <w:sz w:val="21"/>
          <w:szCs w:val="21"/>
        </w:rPr>
      </w:pPr>
      <w:r>
        <w:rPr>
          <w:rFonts w:hint="eastAsia" w:ascii="仿宋" w:hAnsi="仿宋" w:eastAsia="仿宋" w:cs="仿宋"/>
          <w:sz w:val="21"/>
          <w:szCs w:val="21"/>
          <w:lang w:val="en-US" w:eastAsia="zh-CN"/>
        </w:rPr>
        <w:t>HEALink</w:t>
      </w:r>
      <w:r>
        <w:rPr>
          <w:rFonts w:hint="eastAsia"/>
          <w:sz w:val="21"/>
          <w:szCs w:val="21"/>
          <w:lang w:val="en-US" w:eastAsia="zh-CN"/>
        </w:rPr>
        <w:t>健康与流调一体化平台的登录界面采用左右对称布局，左侧展示平台品牌与核心理念，右侧为功能性登录区域。整体设计以深蓝色为主色调，搭配白色文字，传递专业与信任感，旨在为医疗信息管理提供清晰、可靠的用户体验。</w:t>
      </w:r>
    </w:p>
    <w:p>
      <w:pPr>
        <w:pStyle w:val="4"/>
        <w:bidi w:val="0"/>
        <w:ind w:left="283" w:leftChars="0" w:hanging="283" w:firstLineChars="0"/>
        <w:outlineLvl w:val="9"/>
        <w:rPr>
          <w:rFonts w:hint="eastAsia"/>
          <w:sz w:val="21"/>
          <w:szCs w:val="21"/>
          <w:lang w:val="en-US" w:eastAsia="zh-CN"/>
        </w:rPr>
      </w:pPr>
      <w:r>
        <w:rPr>
          <w:rFonts w:hint="eastAsia"/>
          <w:sz w:val="21"/>
          <w:szCs w:val="21"/>
          <w:lang w:val="en-US" w:eastAsia="zh-CN"/>
        </w:rPr>
        <w:t>首页概览</w:t>
      </w:r>
      <w:r>
        <w:rPr>
          <w:rFonts w:hint="default"/>
          <w:sz w:val="21"/>
          <w:szCs w:val="21"/>
          <w:lang w:val="en-US" w:eastAsia="zh-CN"/>
        </w:rPr>
        <w:drawing>
          <wp:inline distT="0" distB="0" distL="114300" distR="114300">
            <wp:extent cx="5267325" cy="3324225"/>
            <wp:effectExtent l="0" t="0" r="3175" b="3175"/>
            <wp:docPr id="1"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9"/>
                    <pic:cNvPicPr>
                      <a:picLocks noChangeAspect="1"/>
                    </pic:cNvPicPr>
                  </pic:nvPicPr>
                  <pic:blipFill>
                    <a:blip r:embed="rId11"/>
                    <a:stretch>
                      <a:fillRect/>
                    </a:stretch>
                  </pic:blipFill>
                  <pic:spPr>
                    <a:xfrm>
                      <a:off x="0" y="0"/>
                      <a:ext cx="5267325" cy="3324225"/>
                    </a:xfrm>
                    <a:prstGeom prst="rect">
                      <a:avLst/>
                    </a:prstGeom>
                    <a:noFill/>
                    <a:ln w="9525">
                      <a:noFill/>
                    </a:ln>
                  </pic:spPr>
                </pic:pic>
              </a:graphicData>
            </a:graphic>
          </wp:inline>
        </w:drawing>
      </w:r>
    </w:p>
    <w:p>
      <w:pPr>
        <w:bidi w:val="0"/>
        <w:rPr>
          <w:rFonts w:hint="eastAsia"/>
          <w:sz w:val="21"/>
          <w:szCs w:val="21"/>
        </w:rPr>
      </w:pPr>
      <w:r>
        <w:rPr>
          <w:rFonts w:hint="eastAsia" w:ascii="仿宋" w:hAnsi="仿宋" w:eastAsia="仿宋" w:cs="仿宋"/>
          <w:sz w:val="21"/>
          <w:szCs w:val="21"/>
          <w:lang w:val="en-US" w:eastAsia="zh-CN"/>
        </w:rPr>
        <w:t>HEALink</w:t>
      </w:r>
      <w:r>
        <w:rPr>
          <w:rFonts w:hint="eastAsia"/>
          <w:sz w:val="21"/>
          <w:szCs w:val="21"/>
          <w:lang w:val="en-US" w:eastAsia="zh-CN"/>
        </w:rPr>
        <w:t>健康与流调一体化平台的首页概览界面主要分为关键数据统计区（今日发热门诊、待随访患者、风险预警、今日完成流调数）与可视化图表区（过去14天发热门诊趋势、风险点分布）、信息列表与操作区（最近流调记录、需要关注的离院患者），通过数据可视化与高效操作设计，为医护人员提供一站式医疗信息管理体验，助力提升公共卫生服务效率与精准度。</w:t>
      </w:r>
    </w:p>
    <w:p>
      <w:pPr>
        <w:pStyle w:val="4"/>
        <w:numPr>
          <w:numId w:val="0"/>
        </w:numPr>
        <w:bidi w:val="0"/>
        <w:ind w:leftChars="0"/>
        <w:rPr>
          <w:rFonts w:hint="eastAsia"/>
          <w:sz w:val="21"/>
          <w:szCs w:val="21"/>
          <w:lang w:val="en-US" w:eastAsia="zh-CN"/>
        </w:rPr>
      </w:pPr>
      <w:bookmarkStart w:id="21" w:name="_Toc9914"/>
      <w:r>
        <w:rPr>
          <w:rFonts w:hint="eastAsia" w:ascii="仿宋" w:hAnsi="仿宋" w:eastAsia="仿宋" w:cs="仿宋"/>
          <w:sz w:val="21"/>
          <w:szCs w:val="21"/>
          <w:lang w:val="en-US" w:eastAsia="zh-CN"/>
        </w:rPr>
        <w:t>2.1.1</w:t>
      </w:r>
      <w:r>
        <w:rPr>
          <w:rFonts w:hint="eastAsia"/>
          <w:sz w:val="21"/>
          <w:szCs w:val="21"/>
          <w:lang w:val="en-US" w:eastAsia="zh-CN"/>
        </w:rPr>
        <w:t>发热门诊流调界面</w:t>
      </w:r>
      <w:bookmarkEnd w:id="21"/>
    </w:p>
    <w:p>
      <w:pPr>
        <w:keepNext w:val="0"/>
        <w:keepLines w:val="0"/>
        <w:widowControl w:val="0"/>
        <w:suppressLineNumbers w:val="0"/>
        <w:spacing w:before="0" w:beforeAutospacing="0" w:after="0" w:afterAutospacing="0" w:line="288" w:lineRule="auto"/>
        <w:ind w:left="0" w:leftChars="0" w:right="0" w:firstLine="0" w:firstLineChars="0"/>
        <w:jc w:val="center"/>
        <w:rPr>
          <w:rFonts w:hint="eastAsia" w:ascii="仿宋_GB2312" w:eastAsia="仿宋_GB2312" w:cs="仿宋_GB2312"/>
          <w:b/>
          <w:bCs w:val="0"/>
          <w:color w:val="auto"/>
          <w:sz w:val="21"/>
          <w:szCs w:val="21"/>
        </w:rPr>
      </w:pPr>
      <w:r>
        <w:rPr>
          <w:rFonts w:hint="default" w:ascii="Times New Roman" w:hAnsi="Times New Roman" w:eastAsia="宋体" w:cs="Times New Roman"/>
          <w:color w:val="auto"/>
          <w:kern w:val="0"/>
          <w:sz w:val="21"/>
          <w:szCs w:val="21"/>
          <w:lang w:val="en-US" w:eastAsia="zh-CN" w:bidi="ar"/>
        </w:rPr>
        <w:drawing>
          <wp:inline distT="0" distB="0" distL="114300" distR="114300">
            <wp:extent cx="4940300" cy="3343910"/>
            <wp:effectExtent l="0" t="0" r="0" b="8890"/>
            <wp:docPr id="2"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IMG_260"/>
                    <pic:cNvPicPr>
                      <a:picLocks noChangeAspect="1"/>
                    </pic:cNvPicPr>
                  </pic:nvPicPr>
                  <pic:blipFill>
                    <a:blip r:embed="rId12"/>
                    <a:stretch>
                      <a:fillRect/>
                    </a:stretch>
                  </pic:blipFill>
                  <pic:spPr>
                    <a:xfrm>
                      <a:off x="0" y="0"/>
                      <a:ext cx="4940300" cy="3343910"/>
                    </a:xfrm>
                    <a:prstGeom prst="rect">
                      <a:avLst/>
                    </a:prstGeom>
                    <a:noFill/>
                    <a:ln w="9525">
                      <a:noFill/>
                    </a:ln>
                  </pic:spPr>
                </pic:pic>
              </a:graphicData>
            </a:graphic>
          </wp:inline>
        </w:drawing>
      </w:r>
      <w:r>
        <w:rPr>
          <w:rFonts w:hint="default" w:ascii="Times New Roman" w:hAnsi="Times New Roman" w:eastAsia="宋体" w:cs="Times New Roman"/>
          <w:color w:val="auto"/>
          <w:kern w:val="0"/>
          <w:sz w:val="21"/>
          <w:szCs w:val="21"/>
          <w:lang w:val="en-US" w:eastAsia="zh-CN" w:bidi="ar"/>
        </w:rPr>
        <w:drawing>
          <wp:inline distT="0" distB="0" distL="114300" distR="114300">
            <wp:extent cx="1752600" cy="1933575"/>
            <wp:effectExtent l="0" t="0" r="0" b="9525"/>
            <wp:docPr id="7"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IMG_261"/>
                    <pic:cNvPicPr>
                      <a:picLocks noChangeAspect="1"/>
                    </pic:cNvPicPr>
                  </pic:nvPicPr>
                  <pic:blipFill>
                    <a:blip r:embed="rId13"/>
                    <a:stretch>
                      <a:fillRect/>
                    </a:stretch>
                  </pic:blipFill>
                  <pic:spPr>
                    <a:xfrm>
                      <a:off x="0" y="0"/>
                      <a:ext cx="1752600" cy="1933575"/>
                    </a:xfrm>
                    <a:prstGeom prst="rect">
                      <a:avLst/>
                    </a:prstGeom>
                    <a:noFill/>
                    <a:ln w="9525">
                      <a:noFill/>
                    </a:ln>
                  </pic:spPr>
                </pic:pic>
              </a:graphicData>
            </a:graphic>
          </wp:inline>
        </w:drawing>
      </w:r>
      <w:r>
        <w:rPr>
          <w:rFonts w:hint="default" w:ascii="Times New Roman" w:hAnsi="Times New Roman" w:eastAsia="宋体" w:cs="Times New Roman"/>
          <w:color w:val="auto"/>
          <w:kern w:val="0"/>
          <w:sz w:val="21"/>
          <w:szCs w:val="21"/>
          <w:lang w:val="en-US" w:eastAsia="zh-CN" w:bidi="ar"/>
        </w:rPr>
        <w:drawing>
          <wp:inline distT="0" distB="0" distL="114300" distR="114300">
            <wp:extent cx="1657350" cy="2066925"/>
            <wp:effectExtent l="0" t="0" r="6350" b="3175"/>
            <wp:docPr id="4"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descr="IMG_262"/>
                    <pic:cNvPicPr>
                      <a:picLocks noChangeAspect="1"/>
                    </pic:cNvPicPr>
                  </pic:nvPicPr>
                  <pic:blipFill>
                    <a:blip r:embed="rId14"/>
                    <a:stretch>
                      <a:fillRect/>
                    </a:stretch>
                  </pic:blipFill>
                  <pic:spPr>
                    <a:xfrm>
                      <a:off x="0" y="0"/>
                      <a:ext cx="1657350" cy="2066925"/>
                    </a:xfrm>
                    <a:prstGeom prst="rect">
                      <a:avLst/>
                    </a:prstGeom>
                    <a:noFill/>
                    <a:ln w="9525">
                      <a:noFill/>
                    </a:ln>
                  </pic:spPr>
                </pic:pic>
              </a:graphicData>
            </a:graphic>
          </wp:inline>
        </w:drawing>
      </w:r>
      <w:r>
        <w:rPr>
          <w:rFonts w:hint="default" w:ascii="Times New Roman" w:hAnsi="Times New Roman" w:eastAsia="宋体" w:cs="Times New Roman"/>
          <w:color w:val="auto"/>
          <w:kern w:val="0"/>
          <w:sz w:val="21"/>
          <w:szCs w:val="21"/>
          <w:lang w:val="en-US" w:eastAsia="zh-CN" w:bidi="ar"/>
        </w:rPr>
        <w:drawing>
          <wp:inline distT="0" distB="0" distL="114300" distR="114300">
            <wp:extent cx="1704975" cy="2047875"/>
            <wp:effectExtent l="0" t="0" r="9525" b="9525"/>
            <wp:docPr id="9"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IMG_263"/>
                    <pic:cNvPicPr>
                      <a:picLocks noChangeAspect="1"/>
                    </pic:cNvPicPr>
                  </pic:nvPicPr>
                  <pic:blipFill>
                    <a:blip r:embed="rId15"/>
                    <a:stretch>
                      <a:fillRect/>
                    </a:stretch>
                  </pic:blipFill>
                  <pic:spPr>
                    <a:xfrm>
                      <a:off x="0" y="0"/>
                      <a:ext cx="1704975" cy="2047875"/>
                    </a:xfrm>
                    <a:prstGeom prst="rect">
                      <a:avLst/>
                    </a:prstGeom>
                    <a:noFill/>
                    <a:ln w="9525">
                      <a:noFill/>
                    </a:ln>
                  </pic:spPr>
                </pic:pic>
              </a:graphicData>
            </a:graphic>
          </wp:inline>
        </w:drawing>
      </w:r>
    </w:p>
    <w:p>
      <w:pPr>
        <w:bidi w:val="0"/>
        <w:rPr>
          <w:rFonts w:hint="eastAsia"/>
          <w:sz w:val="21"/>
          <w:szCs w:val="21"/>
        </w:rPr>
      </w:pPr>
      <w:r>
        <w:rPr>
          <w:rFonts w:hint="eastAsia" w:ascii="仿宋" w:hAnsi="仿宋" w:eastAsia="仿宋" w:cs="仿宋"/>
          <w:sz w:val="21"/>
          <w:szCs w:val="21"/>
          <w:lang w:val="en-US" w:eastAsia="zh-CN"/>
        </w:rPr>
        <w:t>HEALink</w:t>
      </w:r>
      <w:r>
        <w:rPr>
          <w:rFonts w:hint="eastAsia"/>
          <w:sz w:val="21"/>
          <w:szCs w:val="21"/>
          <w:lang w:val="en-US" w:eastAsia="zh-CN"/>
        </w:rPr>
        <w:t>健康与流调一体化平台的发热门诊流调功能主要通过患者与AI大模型的自主流调对话进行，流调界面分为流调对话区、患者信息展示区、流调进度跟踪区。</w:t>
      </w:r>
    </w:p>
    <w:p>
      <w:pPr>
        <w:bidi w:val="0"/>
        <w:rPr>
          <w:rFonts w:hint="eastAsia"/>
          <w:sz w:val="21"/>
          <w:szCs w:val="21"/>
        </w:rPr>
      </w:pPr>
      <w:r>
        <w:rPr>
          <w:rFonts w:hint="eastAsia"/>
          <w:sz w:val="21"/>
          <w:szCs w:val="21"/>
          <w:lang w:val="en-US" w:eastAsia="zh-CN"/>
        </w:rPr>
        <w:t>流调对话区纵向排列患者与流调大模型的对话记录，每条消息均标注时间，便于梳理时间线，进行密切接触者排查。</w:t>
      </w:r>
    </w:p>
    <w:p>
      <w:pPr>
        <w:bidi w:val="0"/>
        <w:rPr>
          <w:rFonts w:hint="eastAsia"/>
          <w:sz w:val="21"/>
          <w:szCs w:val="21"/>
        </w:rPr>
      </w:pPr>
      <w:r>
        <w:rPr>
          <w:rFonts w:hint="eastAsia"/>
          <w:sz w:val="21"/>
          <w:szCs w:val="21"/>
          <w:lang w:val="en-US" w:eastAsia="zh-CN"/>
        </w:rPr>
        <w:t>患者信息展示区详细展示了每位患者的相关信息，除姓氏、性别、年龄、职业、联系方式、就诊时间、主诉等基本信息外，还包括其症状信息、近期活动轨迹。接触史及在此基础上分析生成的风险评估等级，为流调提供完整的背景支持。</w:t>
      </w:r>
    </w:p>
    <w:p>
      <w:pPr>
        <w:bidi w:val="0"/>
        <w:rPr>
          <w:rFonts w:hint="default"/>
          <w:sz w:val="21"/>
          <w:szCs w:val="21"/>
          <w:lang w:val="en-US" w:eastAsia="zh-CN"/>
        </w:rPr>
      </w:pPr>
      <w:r>
        <w:rPr>
          <w:rFonts w:hint="eastAsia"/>
          <w:sz w:val="21"/>
          <w:szCs w:val="21"/>
          <w:lang w:val="en-US" w:eastAsia="zh-CN"/>
        </w:rPr>
        <w:t>流调进度跟踪区以可视化进度条形式展示流调进度，分为基础信息、症状描述、行动轨迹、密切接触和风险评估五个环节，通过绿色（已完成）、蓝色（进行中）、灰色（待完成）圆点标识当前状态，帮助医生快速掌握流调进度，合理安排后续工作。</w:t>
      </w:r>
    </w:p>
    <w:p>
      <w:pPr>
        <w:bidi w:val="0"/>
        <w:rPr>
          <w:rFonts w:hint="eastAsia" w:ascii="仿宋_GB2312" w:eastAsia="仿宋_GB2312" w:cs="仿宋_GB2312"/>
          <w:b/>
          <w:bCs w:val="0"/>
          <w:color w:val="auto"/>
          <w:sz w:val="21"/>
          <w:szCs w:val="21"/>
        </w:rPr>
      </w:pPr>
      <w:r>
        <w:rPr>
          <w:rFonts w:hint="default" w:ascii="Times New Roman" w:hAnsi="Times New Roman" w:eastAsia="宋体" w:cs="Times New Roman"/>
          <w:color w:val="auto"/>
          <w:kern w:val="0"/>
          <w:sz w:val="21"/>
          <w:szCs w:val="21"/>
          <w:lang w:val="en-US" w:eastAsia="zh-CN" w:bidi="ar"/>
        </w:rPr>
        <w:drawing>
          <wp:inline distT="0" distB="0" distL="114300" distR="114300">
            <wp:extent cx="4783455" cy="3686810"/>
            <wp:effectExtent l="0" t="0" r="4445" b="8890"/>
            <wp:docPr id="3"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9" descr="IMG_264"/>
                    <pic:cNvPicPr>
                      <a:picLocks noChangeAspect="1"/>
                    </pic:cNvPicPr>
                  </pic:nvPicPr>
                  <pic:blipFill>
                    <a:blip r:embed="rId16"/>
                    <a:stretch>
                      <a:fillRect/>
                    </a:stretch>
                  </pic:blipFill>
                  <pic:spPr>
                    <a:xfrm>
                      <a:off x="0" y="0"/>
                      <a:ext cx="4783455" cy="3686810"/>
                    </a:xfrm>
                    <a:prstGeom prst="rect">
                      <a:avLst/>
                    </a:prstGeom>
                    <a:noFill/>
                    <a:ln w="9525">
                      <a:noFill/>
                    </a:ln>
                  </pic:spPr>
                </pic:pic>
              </a:graphicData>
            </a:graphic>
          </wp:inline>
        </w:drawing>
      </w:r>
    </w:p>
    <w:p>
      <w:pPr>
        <w:keepNext w:val="0"/>
        <w:keepLines w:val="0"/>
        <w:widowControl w:val="0"/>
        <w:suppressLineNumbers w:val="0"/>
        <w:spacing w:before="0" w:beforeAutospacing="0" w:after="0" w:afterAutospacing="0" w:line="288" w:lineRule="auto"/>
        <w:ind w:left="0" w:leftChars="0" w:right="0" w:firstLine="500" w:firstLineChars="0"/>
        <w:jc w:val="left"/>
        <w:rPr>
          <w:rFonts w:hint="eastAsia" w:ascii="仿宋_GB2312" w:eastAsia="仿宋_GB2312" w:cs="仿宋_GB2312"/>
          <w:color w:val="auto"/>
          <w:sz w:val="21"/>
          <w:szCs w:val="21"/>
        </w:rPr>
      </w:pPr>
      <w:r>
        <w:rPr>
          <w:rFonts w:hint="eastAsia" w:ascii="仿宋" w:hAnsi="仿宋" w:eastAsia="仿宋" w:cs="仿宋"/>
          <w:color w:val="auto"/>
          <w:kern w:val="0"/>
          <w:sz w:val="21"/>
          <w:szCs w:val="21"/>
          <w:lang w:val="en-US" w:eastAsia="zh-CN" w:bidi="ar"/>
        </w:rPr>
        <w:t>HEALink</w:t>
      </w:r>
      <w:r>
        <w:rPr>
          <w:rFonts w:hint="eastAsia" w:ascii="仿宋_GB2312" w:hAnsi="Times New Roman" w:eastAsia="仿宋_GB2312" w:cs="仿宋_GB2312"/>
          <w:color w:val="auto"/>
          <w:kern w:val="0"/>
          <w:sz w:val="21"/>
          <w:szCs w:val="21"/>
          <w:lang w:val="en-US" w:eastAsia="zh-CN" w:bidi="ar"/>
        </w:rPr>
        <w:t>流行病学调查问答界面通过智能化的人机对话交互，实现流行病学数据的精准采集与高效管理，为公共卫生防控提供有力技术支持。</w:t>
      </w:r>
      <w:r>
        <w:rPr>
          <w:rFonts w:hint="eastAsia" w:ascii="仿宋" w:hAnsi="仿宋" w:eastAsia="仿宋" w:cs="仿宋"/>
          <w:color w:val="auto"/>
          <w:kern w:val="0"/>
          <w:sz w:val="21"/>
          <w:szCs w:val="21"/>
          <w:lang w:val="en-US" w:eastAsia="zh-CN" w:bidi="ar"/>
        </w:rPr>
        <w:t>HEALink</w:t>
      </w:r>
      <w:r>
        <w:rPr>
          <w:rFonts w:hint="eastAsia" w:ascii="仿宋_GB2312" w:hAnsi="Times New Roman" w:eastAsia="仿宋_GB2312" w:cs="仿宋_GB2312"/>
          <w:color w:val="auto"/>
          <w:kern w:val="0"/>
          <w:sz w:val="21"/>
          <w:szCs w:val="21"/>
          <w:lang w:val="en-US" w:eastAsia="zh-CN" w:bidi="ar"/>
        </w:rPr>
        <w:t>智能流调助手以简洁文字开场建立沟通基础，提示“流行病学调查问卷已启动”，引导用户积极参与，并根据患者的主诉及症状智能生成针对性问题，快速切入关键调查内容。用户在回答中反馈症状信息，提供具体时间及症状表现，确保数据准确。接着，智能助手根据用户反馈继续追问，如“除了发热，您还有哪些症状？比如咳嗽、咽痛、流涕、肌肉酸痛、腹泻、呕吐、味觉或嗅觉丧失等”，全面收集病情信息，推进流行病学调查。</w:t>
      </w:r>
    </w:p>
    <w:p>
      <w:pPr>
        <w:pStyle w:val="4"/>
        <w:numPr>
          <w:numId w:val="0"/>
        </w:numPr>
        <w:bidi w:val="0"/>
        <w:ind w:leftChars="0"/>
        <w:rPr>
          <w:rFonts w:hint="eastAsia"/>
          <w:sz w:val="21"/>
          <w:szCs w:val="21"/>
          <w:lang w:val="en-US" w:eastAsia="zh-CN"/>
        </w:rPr>
      </w:pPr>
      <w:bookmarkStart w:id="22" w:name="_Toc19098"/>
      <w:r>
        <w:rPr>
          <w:rFonts w:hint="eastAsia" w:ascii="仿宋" w:hAnsi="仿宋" w:eastAsia="仿宋" w:cs="仿宋"/>
          <w:sz w:val="21"/>
          <w:szCs w:val="21"/>
          <w:lang w:val="en-US" w:eastAsia="zh-CN"/>
        </w:rPr>
        <w:t>2.1.2.</w:t>
      </w:r>
      <w:r>
        <w:rPr>
          <w:rFonts w:hint="eastAsia"/>
          <w:sz w:val="21"/>
          <w:szCs w:val="21"/>
          <w:lang w:val="en-US" w:eastAsia="zh-CN"/>
        </w:rPr>
        <w:t>患者主界面</w:t>
      </w:r>
      <w:bookmarkEnd w:id="22"/>
    </w:p>
    <w:p>
      <w:pPr>
        <w:keepNext w:val="0"/>
        <w:keepLines w:val="0"/>
        <w:widowControl w:val="0"/>
        <w:suppressLineNumbers w:val="0"/>
        <w:spacing w:before="0" w:beforeAutospacing="0" w:after="0" w:afterAutospacing="0" w:line="288" w:lineRule="auto"/>
        <w:ind w:left="0" w:leftChars="0" w:right="0"/>
        <w:jc w:val="center"/>
        <w:rPr>
          <w:rFonts w:hint="eastAsia" w:ascii="仿宋_GB2312" w:hAnsi="Times New Roman" w:eastAsia="仿宋_GB2312" w:cs="仿宋_GB2312"/>
          <w:b/>
          <w:bCs w:val="0"/>
          <w:color w:val="auto"/>
          <w:kern w:val="0"/>
          <w:sz w:val="21"/>
          <w:szCs w:val="21"/>
          <w:lang w:val="en-US" w:eastAsia="zh-CN" w:bidi="ar"/>
        </w:rPr>
      </w:pPr>
      <w:r>
        <w:rPr>
          <w:rFonts w:hint="default" w:ascii="Times New Roman" w:hAnsi="Times New Roman" w:eastAsia="宋体" w:cs="Times New Roman"/>
          <w:color w:val="auto"/>
          <w:kern w:val="0"/>
          <w:sz w:val="21"/>
          <w:szCs w:val="21"/>
          <w:lang w:val="en-US" w:eastAsia="zh-CN" w:bidi="ar"/>
        </w:rPr>
        <w:drawing>
          <wp:inline distT="0" distB="0" distL="114300" distR="114300">
            <wp:extent cx="5269230" cy="3543935"/>
            <wp:effectExtent l="0" t="0" r="1270" b="12065"/>
            <wp:docPr id="8"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 descr="IMG_265"/>
                    <pic:cNvPicPr>
                      <a:picLocks noChangeAspect="1"/>
                    </pic:cNvPicPr>
                  </pic:nvPicPr>
                  <pic:blipFill>
                    <a:blip r:embed="rId17"/>
                    <a:stretch>
                      <a:fillRect/>
                    </a:stretch>
                  </pic:blipFill>
                  <pic:spPr>
                    <a:xfrm>
                      <a:off x="0" y="0"/>
                      <a:ext cx="5269230" cy="3543935"/>
                    </a:xfrm>
                    <a:prstGeom prst="rect">
                      <a:avLst/>
                    </a:prstGeom>
                    <a:noFill/>
                    <a:ln w="9525">
                      <a:noFill/>
                    </a:ln>
                  </pic:spPr>
                </pic:pic>
              </a:graphicData>
            </a:graphic>
          </wp:inline>
        </w:drawing>
      </w:r>
      <w:r>
        <w:rPr>
          <w:rFonts w:hint="default" w:ascii="Times New Roman" w:hAnsi="Times New Roman" w:eastAsia="宋体" w:cs="Times New Roman"/>
          <w:color w:val="auto"/>
          <w:kern w:val="0"/>
          <w:sz w:val="21"/>
          <w:szCs w:val="21"/>
          <w:lang w:val="en-US" w:eastAsia="zh-CN" w:bidi="ar"/>
        </w:rPr>
        <w:drawing>
          <wp:inline distT="0" distB="0" distL="114300" distR="114300">
            <wp:extent cx="4812030" cy="3208655"/>
            <wp:effectExtent l="0" t="0" r="1270" b="4445"/>
            <wp:docPr id="5"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descr="IMG_266"/>
                    <pic:cNvPicPr>
                      <a:picLocks noChangeAspect="1"/>
                    </pic:cNvPicPr>
                  </pic:nvPicPr>
                  <pic:blipFill>
                    <a:blip r:embed="rId18"/>
                    <a:stretch>
                      <a:fillRect/>
                    </a:stretch>
                  </pic:blipFill>
                  <pic:spPr>
                    <a:xfrm>
                      <a:off x="0" y="0"/>
                      <a:ext cx="4812030" cy="3208655"/>
                    </a:xfrm>
                    <a:prstGeom prst="rect">
                      <a:avLst/>
                    </a:prstGeom>
                    <a:noFill/>
                    <a:ln w="9525">
                      <a:noFill/>
                    </a:ln>
                  </pic:spPr>
                </pic:pic>
              </a:graphicData>
            </a:graphic>
          </wp:inline>
        </w:drawing>
      </w:r>
    </w:p>
    <w:p>
      <w:pPr>
        <w:bidi w:val="0"/>
        <w:rPr>
          <w:rFonts w:hint="eastAsia"/>
          <w:sz w:val="21"/>
          <w:szCs w:val="21"/>
        </w:rPr>
      </w:pPr>
      <w:r>
        <w:rPr>
          <w:rFonts w:hint="eastAsia"/>
          <w:sz w:val="21"/>
          <w:szCs w:val="21"/>
          <w:lang w:val="en-US" w:eastAsia="zh-CN"/>
        </w:rPr>
        <w:t>患者主界面清晰简洁，实时展示心率、体温、血氧饱和度、呼吸频率等关键健康指标，并用趋势图表直观展现患者近一周的体温与血氧饱和度波动情况，便于患者及时了解健康状况。</w:t>
      </w:r>
    </w:p>
    <w:p>
      <w:pPr>
        <w:bidi w:val="0"/>
        <w:rPr>
          <w:rFonts w:hint="eastAsia"/>
          <w:sz w:val="21"/>
          <w:szCs w:val="21"/>
        </w:rPr>
      </w:pPr>
      <w:r>
        <w:rPr>
          <w:rFonts w:hint="eastAsia"/>
          <w:sz w:val="21"/>
          <w:szCs w:val="21"/>
          <w:lang w:val="en-US" w:eastAsia="zh-CN"/>
        </w:rPr>
        <w:t>“随访预约”包括视频随访、门诊随访、电话随访等不同方式，出院患者可根据自身情况自主选择随访方式，预约随访时间。对于服药期间的患者，“用药提醒”版块为患者提供详细的用药指导及服药提醒，助力用户高效自主管理健康。随病情变化，患者每日可通过“健康上报”功能随时更新健康数据，确保信息及时记录。“健康上报”版块大幅简化了患者上报健康状况的流程，患者只需填写基本健康指标、勾选症状情况与用药记录，其余可写在“补充说明”部分，上报高效便捷。 界面右侧解释每日上报的原因、上报时间建议及数据安全问题，强调数据仅用于医疗目的，保护用户隐私，增强用户信任感。</w:t>
      </w:r>
    </w:p>
    <w:p>
      <w:pPr>
        <w:bidi w:val="0"/>
        <w:rPr>
          <w:rFonts w:hint="eastAsia"/>
          <w:sz w:val="21"/>
          <w:szCs w:val="21"/>
        </w:rPr>
      </w:pPr>
      <w:r>
        <w:rPr>
          <w:rFonts w:hint="eastAsia"/>
          <w:sz w:val="21"/>
          <w:szCs w:val="21"/>
          <w:lang w:val="en-US" w:eastAsia="zh-CN"/>
        </w:rPr>
        <w:t>如患者未按时报告病情、发热反复或病情异常，</w:t>
      </w:r>
      <w:r>
        <w:rPr>
          <w:rFonts w:hint="eastAsia" w:ascii="仿宋" w:hAnsi="仿宋" w:eastAsia="仿宋" w:cs="仿宋"/>
          <w:sz w:val="21"/>
          <w:szCs w:val="21"/>
          <w:lang w:val="en-US" w:eastAsia="zh-CN"/>
        </w:rPr>
        <w:t>HeaLink</w:t>
      </w:r>
      <w:r>
        <w:rPr>
          <w:rFonts w:hint="eastAsia"/>
          <w:sz w:val="21"/>
          <w:szCs w:val="21"/>
          <w:lang w:val="en-US" w:eastAsia="zh-CN"/>
        </w:rPr>
        <w:t>系统评估患者风险等级较高，将会将患者ID移入“需要关注的离院患者”名录，患者将收到风险提醒，并接受医生的个性化诊疗指导。</w:t>
      </w:r>
    </w:p>
    <w:p>
      <w:pPr>
        <w:pStyle w:val="4"/>
        <w:bidi w:val="0"/>
        <w:rPr>
          <w:rFonts w:hint="eastAsia"/>
          <w:sz w:val="21"/>
          <w:szCs w:val="21"/>
          <w:lang w:val="en-US" w:eastAsia="zh-CN"/>
        </w:rPr>
      </w:pPr>
      <w:bookmarkStart w:id="23" w:name="_Toc16876"/>
      <w:r>
        <w:rPr>
          <w:rFonts w:hint="eastAsia"/>
          <w:sz w:val="21"/>
          <w:szCs w:val="21"/>
          <w:lang w:val="en-US" w:eastAsia="zh-CN"/>
        </w:rPr>
        <w:t>离院患者动态追踪界面</w:t>
      </w:r>
      <w:bookmarkEnd w:id="23"/>
    </w:p>
    <w:p>
      <w:pPr>
        <w:bidi w:val="0"/>
        <w:rPr>
          <w:rFonts w:hint="eastAsia" w:ascii="仿宋_GB2312" w:hAnsi="Times New Roman" w:eastAsia="仿宋_GB2312" w:cs="仿宋_GB2312"/>
          <w:color w:val="auto"/>
          <w:kern w:val="0"/>
          <w:sz w:val="21"/>
          <w:szCs w:val="21"/>
          <w:lang w:val="en-US" w:eastAsia="zh-CN" w:bidi="ar"/>
        </w:rPr>
      </w:pPr>
      <w:r>
        <w:rPr>
          <w:rFonts w:hint="default" w:ascii="Times New Roman" w:hAnsi="Times New Roman" w:eastAsia="宋体" w:cs="Times New Roman"/>
          <w:color w:val="auto"/>
          <w:kern w:val="0"/>
          <w:sz w:val="21"/>
          <w:szCs w:val="21"/>
          <w:lang w:val="en-US" w:eastAsia="zh-CN" w:bidi="ar"/>
        </w:rPr>
        <w:drawing>
          <wp:inline distT="0" distB="0" distL="114300" distR="114300">
            <wp:extent cx="5272405" cy="3382645"/>
            <wp:effectExtent l="0" t="0" r="10795" b="8255"/>
            <wp:docPr id="6"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2" descr="IMG_267"/>
                    <pic:cNvPicPr>
                      <a:picLocks noChangeAspect="1"/>
                    </pic:cNvPicPr>
                  </pic:nvPicPr>
                  <pic:blipFill>
                    <a:blip r:embed="rId19"/>
                    <a:stretch>
                      <a:fillRect/>
                    </a:stretch>
                  </pic:blipFill>
                  <pic:spPr>
                    <a:xfrm>
                      <a:off x="0" y="0"/>
                      <a:ext cx="5272405" cy="3382645"/>
                    </a:xfrm>
                    <a:prstGeom prst="rect">
                      <a:avLst/>
                    </a:prstGeom>
                    <a:noFill/>
                    <a:ln w="9525">
                      <a:noFill/>
                    </a:ln>
                  </pic:spPr>
                </pic:pic>
              </a:graphicData>
            </a:graphic>
          </wp:inline>
        </w:drawing>
      </w:r>
      <w:r>
        <w:rPr>
          <w:rFonts w:hint="default" w:ascii="Times New Roman" w:hAnsi="Times New Roman" w:eastAsia="宋体" w:cs="Times New Roman"/>
          <w:color w:val="auto"/>
          <w:kern w:val="0"/>
          <w:sz w:val="21"/>
          <w:szCs w:val="21"/>
          <w:lang w:val="en-US" w:eastAsia="zh-CN" w:bidi="ar"/>
        </w:rPr>
        <w:drawing>
          <wp:inline distT="0" distB="0" distL="114300" distR="114300">
            <wp:extent cx="5267325" cy="3276600"/>
            <wp:effectExtent l="0" t="0" r="3175" b="0"/>
            <wp:docPr id="13"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68"/>
                    <pic:cNvPicPr>
                      <a:picLocks noChangeAspect="1"/>
                    </pic:cNvPicPr>
                  </pic:nvPicPr>
                  <pic:blipFill>
                    <a:blip r:embed="rId20"/>
                    <a:stretch>
                      <a:fillRect/>
                    </a:stretch>
                  </pic:blipFill>
                  <pic:spPr>
                    <a:xfrm>
                      <a:off x="0" y="0"/>
                      <a:ext cx="5267325" cy="3276600"/>
                    </a:xfrm>
                    <a:prstGeom prst="rect">
                      <a:avLst/>
                    </a:prstGeom>
                    <a:noFill/>
                    <a:ln w="9525">
                      <a:noFill/>
                    </a:ln>
                  </pic:spPr>
                </pic:pic>
              </a:graphicData>
            </a:graphic>
          </wp:inline>
        </w:drawing>
      </w:r>
      <w:r>
        <w:rPr>
          <w:rFonts w:hint="eastAsia" w:ascii="仿宋_GB2312" w:hAnsi="Times New Roman" w:eastAsia="仿宋_GB2312" w:cs="仿宋_GB2312"/>
          <w:color w:val="auto"/>
          <w:kern w:val="0"/>
          <w:sz w:val="21"/>
          <w:szCs w:val="21"/>
          <w:lang w:val="en-US" w:eastAsia="zh-CN" w:bidi="ar"/>
        </w:rPr>
        <w:t xml:space="preserve">  </w:t>
      </w:r>
      <w:r>
        <w:rPr>
          <w:rFonts w:hint="eastAsia" w:ascii="仿宋_GB2312" w:hAnsi="Times New Roman" w:eastAsia="仿宋_GB2312" w:cs="仿宋_GB2312"/>
          <w:color w:val="auto"/>
          <w:kern w:val="0"/>
          <w:sz w:val="21"/>
          <w:szCs w:val="21"/>
          <w:lang w:val="en-US" w:eastAsia="zh-CN" w:bidi="ar"/>
        </w:rPr>
        <w:tab/>
      </w:r>
    </w:p>
    <w:p>
      <w:pPr>
        <w:bidi w:val="0"/>
        <w:rPr>
          <w:rFonts w:hint="eastAsia"/>
          <w:sz w:val="21"/>
          <w:szCs w:val="21"/>
        </w:rPr>
      </w:pPr>
      <w:r>
        <w:rPr>
          <w:rFonts w:hint="eastAsia" w:ascii="仿宋" w:hAnsi="仿宋" w:eastAsia="仿宋" w:cs="仿宋"/>
          <w:sz w:val="21"/>
          <w:szCs w:val="21"/>
          <w:lang w:val="en-US" w:eastAsia="zh-CN"/>
        </w:rPr>
        <w:t>HEALink</w:t>
      </w:r>
      <w:r>
        <w:rPr>
          <w:rFonts w:hint="eastAsia"/>
          <w:sz w:val="21"/>
          <w:szCs w:val="21"/>
          <w:lang w:val="en-US" w:eastAsia="zh-CN"/>
        </w:rPr>
        <w:t>离院患者动态追踪界面专为医护人员设计，旨在实时监测出院患者的健康状况，提供精准的随访管理与干预支持。</w:t>
      </w:r>
    </w:p>
    <w:p>
      <w:pPr>
        <w:bidi w:val="0"/>
        <w:rPr>
          <w:rFonts w:hint="eastAsia"/>
          <w:sz w:val="21"/>
          <w:szCs w:val="21"/>
        </w:rPr>
      </w:pPr>
      <w:r>
        <w:rPr>
          <w:rFonts w:hint="eastAsia"/>
          <w:sz w:val="21"/>
          <w:szCs w:val="21"/>
          <w:lang w:val="en-US" w:eastAsia="zh-CN"/>
        </w:rPr>
        <w:t>页面顶部筛选与搜索区提供多维筛选功能，包括状态（全部、正常、需关注、异常）、时间（如“过去7天”）、科室（如“全部科室”）及患者ID/姓名搜索框，帮助医生快速定位目标患者。</w:t>
      </w:r>
    </w:p>
    <w:p>
      <w:pPr>
        <w:bidi w:val="0"/>
        <w:rPr>
          <w:rFonts w:hint="eastAsia"/>
          <w:sz w:val="21"/>
          <w:szCs w:val="21"/>
        </w:rPr>
      </w:pPr>
      <w:r>
        <w:rPr>
          <w:rFonts w:hint="eastAsia"/>
          <w:sz w:val="21"/>
          <w:szCs w:val="21"/>
          <w:lang w:val="en-US" w:eastAsia="zh-CN"/>
        </w:rPr>
        <w:t>页面左侧以列表形式展示患者信息，包括姓名、状态标签（异常、需关注、观察中、正常）、离院日期、患者ID及关键体征（如体温、咳嗽反复、血氧等），支持点击查看详情。</w:t>
      </w:r>
    </w:p>
    <w:p>
      <w:pPr>
        <w:bidi w:val="0"/>
        <w:rPr>
          <w:rFonts w:hint="eastAsia"/>
          <w:sz w:val="21"/>
          <w:szCs w:val="21"/>
        </w:rPr>
      </w:pPr>
      <w:r>
        <w:rPr>
          <w:rFonts w:hint="eastAsia"/>
          <w:sz w:val="21"/>
          <w:szCs w:val="21"/>
          <w:lang w:val="en-US" w:eastAsia="zh-CN"/>
        </w:rPr>
        <w:t>页面右侧显示选中患者的详细信息，包括基本信息（姓名、ID、性别/年龄、联系电话、入院/出院时间）、诊断信息）、用药记录、随访计划、注意事项及负责医生，便于医生快速了解目标患者信息。</w:t>
      </w:r>
    </w:p>
    <w:p>
      <w:pPr>
        <w:bidi w:val="0"/>
        <w:rPr>
          <w:rFonts w:hint="eastAsia"/>
          <w:sz w:val="21"/>
          <w:szCs w:val="21"/>
        </w:rPr>
      </w:pPr>
      <w:r>
        <w:rPr>
          <w:rFonts w:hint="eastAsia"/>
          <w:sz w:val="21"/>
          <w:szCs w:val="21"/>
          <w:lang w:val="en-US" w:eastAsia="zh-CN"/>
        </w:rPr>
        <w:t>页面下方以图表形式展示患者体征变化趋势（如体温、血氧、血压、心率），横轴为日期，纵轴为体征数值，帮助医生直观分析患者恢复情况，针对性修订诊疗建议。</w:t>
      </w:r>
    </w:p>
    <w:p>
      <w:pPr>
        <w:bidi w:val="0"/>
        <w:rPr>
          <w:rFonts w:hint="eastAsia"/>
          <w:sz w:val="21"/>
          <w:szCs w:val="21"/>
        </w:rPr>
      </w:pPr>
      <w:r>
        <w:rPr>
          <w:rFonts w:hint="eastAsia"/>
          <w:sz w:val="21"/>
          <w:szCs w:val="21"/>
          <w:lang w:val="en-US" w:eastAsia="zh-CN"/>
        </w:rPr>
        <w:t>定期随访是离院患者动态追踪版块的一大亮点。其不仅能够实时监测患者的健康状况，还能通过智能化的数据分析和个性化的干预措施，为患者提供持续、精准的医疗服务。</w:t>
      </w:r>
    </w:p>
    <w:p>
      <w:pPr>
        <w:bidi w:val="0"/>
        <w:rPr>
          <w:rFonts w:hint="eastAsia"/>
          <w:sz w:val="21"/>
          <w:szCs w:val="21"/>
        </w:rPr>
      </w:pPr>
      <w:r>
        <w:rPr>
          <w:rFonts w:hint="eastAsia"/>
          <w:sz w:val="21"/>
          <w:szCs w:val="21"/>
          <w:lang w:val="en-US" w:eastAsia="zh-CN"/>
        </w:rPr>
        <w:t>患者出院后，根据自身情况自主选择随访方式，报告近期病情变化。通过自动监测设备（如智能体温计、血氧仪等）和患者自我报告，系统能够实时采集关键健康数据（如体温、血氧、心率等），并自动分析异常指标。一旦出现异常，系统会立即触发“异常”标签，提醒医护人员重点关注，避免病情恶化。医护人员可通过“追加随访”按钮迅速跟进，通过电话或视频详细了解症状，并结合历史数据与当前表现进行综合评估。例如，针对发热患者，医护人员会询问咳嗽性质、痰液颜色等细节，判断是否存在继发感染风险，并安排进一步检查或调整治疗方案。</w:t>
      </w:r>
    </w:p>
    <w:p>
      <w:pPr>
        <w:bidi w:val="0"/>
        <w:rPr>
          <w:rFonts w:hint="eastAsia"/>
          <w:sz w:val="21"/>
          <w:szCs w:val="21"/>
        </w:rPr>
      </w:pPr>
      <w:r>
        <w:rPr>
          <w:rFonts w:hint="eastAsia"/>
          <w:sz w:val="21"/>
          <w:szCs w:val="21"/>
          <w:lang w:val="en-US" w:eastAsia="zh-CN"/>
        </w:rPr>
        <w:t>此外，根据患者的病情变化，系统能够动态调整随访计划。例如，对于术后康复患者，医护人员会重点关注伤口愈合情况与疼痛管理；对于慢性病患者，则会定期监测血压、血糖等指标，并提供饮食、运动等健康指导，帮助患者养成健康生活习惯。</w:t>
      </w:r>
    </w:p>
    <w:p>
      <w:pPr>
        <w:bidi w:val="0"/>
        <w:rPr>
          <w:rFonts w:hint="eastAsia"/>
          <w:sz w:val="21"/>
          <w:szCs w:val="21"/>
        </w:rPr>
      </w:pPr>
      <w:r>
        <w:rPr>
          <w:rFonts w:hint="eastAsia"/>
          <w:sz w:val="21"/>
          <w:szCs w:val="21"/>
          <w:lang w:val="en-US" w:eastAsia="zh-CN"/>
        </w:rPr>
        <w:t>综上所述，</w:t>
      </w:r>
      <w:r>
        <w:rPr>
          <w:rFonts w:hint="eastAsia" w:ascii="仿宋" w:hAnsi="仿宋" w:eastAsia="仿宋" w:cs="仿宋"/>
          <w:sz w:val="21"/>
          <w:szCs w:val="21"/>
          <w:lang w:val="en-US" w:eastAsia="zh-CN"/>
        </w:rPr>
        <w:t>HEALink</w:t>
      </w:r>
      <w:r>
        <w:rPr>
          <w:rFonts w:hint="eastAsia"/>
          <w:sz w:val="21"/>
          <w:szCs w:val="21"/>
          <w:lang w:val="en-US" w:eastAsia="zh-CN"/>
        </w:rPr>
        <w:t>健康与流调一体化平台通过智能化的数据采集、精准的健康监测与高效的随访管理，无缝衔接患者从主诉、就诊到出院的全流程，实现一体化服务闭环，为医疗机构提供全面、可靠的数据支持，同时为患者的健康管理与康复提供持续保障，推进医疗服务的数字化转型与效率提升。</w:t>
      </w:r>
    </w:p>
    <w:p>
      <w:pPr>
        <w:keepNext w:val="0"/>
        <w:keepLines w:val="0"/>
        <w:widowControl w:val="0"/>
        <w:suppressLineNumbers w:val="0"/>
        <w:spacing w:before="0" w:beforeAutospacing="0" w:after="0" w:afterAutospacing="0" w:line="288" w:lineRule="auto"/>
        <w:ind w:left="0" w:leftChars="0" w:right="0" w:firstLine="500" w:firstLineChars="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 xml:space="preserve"> </w:t>
      </w:r>
    </w:p>
    <w:p>
      <w:pPr>
        <w:pStyle w:val="3"/>
        <w:bidi w:val="0"/>
        <w:rPr>
          <w:rFonts w:hint="eastAsia"/>
          <w:sz w:val="21"/>
          <w:szCs w:val="21"/>
        </w:rPr>
      </w:pPr>
      <w:bookmarkStart w:id="24" w:name="_Toc24846"/>
      <w:r>
        <w:rPr>
          <w:rFonts w:hint="eastAsia"/>
          <w:sz w:val="21"/>
          <w:szCs w:val="21"/>
          <w:lang w:val="en-US" w:eastAsia="zh-CN"/>
        </w:rPr>
        <w:t>技术原理</w:t>
      </w:r>
      <w:bookmarkEnd w:id="24"/>
    </w:p>
    <w:p>
      <w:pPr>
        <w:keepNext w:val="0"/>
        <w:keepLines w:val="0"/>
        <w:widowControl w:val="0"/>
        <w:suppressLineNumbers w:val="0"/>
        <w:spacing w:before="120" w:beforeAutospacing="0" w:after="120" w:afterAutospacing="0" w:line="288" w:lineRule="auto"/>
        <w:ind w:left="0" w:right="0" w:firstLine="420"/>
        <w:jc w:val="left"/>
        <w:rPr>
          <w:rFonts w:hint="eastAsia" w:ascii="仿宋_GB2312" w:eastAsia="仿宋_GB2312" w:cs="仿宋_GB2312"/>
          <w:color w:val="auto"/>
          <w:sz w:val="21"/>
          <w:szCs w:val="21"/>
        </w:rPr>
      </w:pPr>
      <w:r>
        <w:rPr>
          <w:rFonts w:hint="eastAsia" w:ascii="仿宋" w:hAnsi="仿宋" w:eastAsia="仿宋" w:cs="仿宋"/>
          <w:color w:val="auto"/>
          <w:kern w:val="0"/>
          <w:sz w:val="21"/>
          <w:szCs w:val="21"/>
          <w:lang w:val="en-US" w:eastAsia="zh-CN" w:bidi="ar"/>
        </w:rPr>
        <w:t>HEALINK</w:t>
      </w:r>
      <w:r>
        <w:rPr>
          <w:rFonts w:hint="eastAsia" w:ascii="仿宋_GB2312" w:hAnsi="Times New Roman" w:eastAsia="仿宋_GB2312" w:cs="仿宋_GB2312"/>
          <w:color w:val="auto"/>
          <w:kern w:val="0"/>
          <w:sz w:val="21"/>
          <w:szCs w:val="21"/>
          <w:lang w:val="en-US" w:eastAsia="zh-CN" w:bidi="ar"/>
        </w:rPr>
        <w:t>项目以“动态场景适配+多模态数据融合”为技术核心，构建覆盖发热门诊流调与全民健康管理的双轨智能系统。通过自主研发的自然语言处理（NLP）、知识图谱与联邦学习技术，结合轻量化混合云架构与安全合规体系，形成从数据采集到服务优化的全链路闭环解决方案，实现传染病防控效率与个体健康管理能力的双重跃升。</w:t>
      </w:r>
    </w:p>
    <w:p>
      <w:pPr>
        <w:pStyle w:val="4"/>
        <w:bidi w:val="0"/>
        <w:rPr>
          <w:rFonts w:hint="eastAsia"/>
          <w:sz w:val="21"/>
          <w:szCs w:val="21"/>
        </w:rPr>
      </w:pPr>
      <w:bookmarkStart w:id="25" w:name="heading_10"/>
      <w:bookmarkStart w:id="26" w:name="_Toc10897"/>
      <w:r>
        <w:rPr>
          <w:rFonts w:hint="eastAsia"/>
          <w:sz w:val="21"/>
          <w:szCs w:val="21"/>
          <w:lang w:val="en-US" w:eastAsia="zh-CN"/>
        </w:rPr>
        <w:t>技术架构设计：分层解耦与高效协同</w:t>
      </w:r>
      <w:bookmarkEnd w:id="25"/>
      <w:bookmarkEnd w:id="26"/>
    </w:p>
    <w:p>
      <w:pPr>
        <w:bidi w:val="0"/>
        <w:rPr>
          <w:rFonts w:hint="eastAsia"/>
          <w:sz w:val="21"/>
          <w:szCs w:val="21"/>
        </w:rPr>
      </w:pPr>
      <w:r>
        <w:rPr>
          <w:rFonts w:hint="eastAsia" w:ascii="仿宋" w:hAnsi="仿宋" w:eastAsia="仿宋" w:cs="仿宋"/>
          <w:sz w:val="21"/>
          <w:szCs w:val="21"/>
          <w:lang w:val="en-US" w:eastAsia="zh-CN"/>
        </w:rPr>
        <w:t>HEALINK</w:t>
      </w:r>
      <w:r>
        <w:rPr>
          <w:rFonts w:hint="eastAsia"/>
          <w:sz w:val="21"/>
          <w:szCs w:val="21"/>
          <w:lang w:val="en-US" w:eastAsia="zh-CN"/>
        </w:rPr>
        <w:t>系统采用“前端轻量化+后端智能化+数据安全闭环”的三层架构设计，实现高效交互、智能决策与隐私保护的深度融合。</w:t>
      </w:r>
    </w:p>
    <w:p>
      <w:pPr>
        <w:bidi w:val="0"/>
        <w:rPr>
          <w:rFonts w:hint="eastAsia"/>
          <w:sz w:val="21"/>
          <w:szCs w:val="21"/>
        </w:rPr>
      </w:pPr>
      <w:r>
        <w:rPr>
          <w:rFonts w:hint="eastAsia"/>
          <w:sz w:val="21"/>
          <w:szCs w:val="21"/>
          <w:lang w:val="en-US" w:eastAsia="zh-CN"/>
        </w:rPr>
        <w:t>前端交互层基于React/Vue框架构建动态界面，支持语音、文字、扫码等多模态输入方式，适配医疗机构、公众用户等复杂场景需求。通过轻量化HTTP API与后端实时通信，实现流调问题的动态加载与用户界面的流畅响应。例如，发热患者可通过扫码快速调取预填信息（如电子健康码中的行程轨迹），系统</w:t>
      </w:r>
      <w:bookmarkStart w:id="123" w:name="_GoBack"/>
      <w:bookmarkEnd w:id="123"/>
      <w:r>
        <w:rPr>
          <w:rFonts w:hint="eastAsia"/>
          <w:sz w:val="21"/>
          <w:szCs w:val="21"/>
          <w:lang w:val="en-US" w:eastAsia="zh-CN"/>
        </w:rPr>
        <w:t>自动填充基础字段（如姓名、近期活动区域），大幅减少重复输入。医护人员可通过语音指令实时切换问题模板，或在移动端查看流调进度热力图，提升操作效率。</w:t>
      </w:r>
    </w:p>
    <w:p>
      <w:pPr>
        <w:bidi w:val="0"/>
        <w:rPr>
          <w:rFonts w:hint="eastAsia"/>
          <w:sz w:val="21"/>
          <w:szCs w:val="21"/>
        </w:rPr>
      </w:pPr>
      <w:r>
        <w:rPr>
          <w:rFonts w:hint="eastAsia"/>
          <w:sz w:val="21"/>
          <w:szCs w:val="21"/>
          <w:lang w:val="en-US" w:eastAsia="zh-CN"/>
        </w:rPr>
        <w:t>后端智能层以Python服务框架为基座，集成本地化部署的大语言模型（LLM）引擎，支撑复杂场景下的智能决策。核心模块包括动态问答引擎、多模态数据对齐算法及自进化反馈机制，通过微服务架构实现高并发处理与低延迟响应（&lt;500ms）。例如，当患者主诉“持续咳嗽”时，后端模型自动关联电子病历中的抗生素使用记录与可穿戴设备监测的实时血氧数据，综合判断感染类型（细菌性/病毒性），并生成分诊建议。后端采用分布式计算技术，支持万级并发任务处理，确保疫情高发期系统的稳定运行。</w:t>
      </w:r>
    </w:p>
    <w:p>
      <w:pPr>
        <w:bidi w:val="0"/>
        <w:rPr>
          <w:rFonts w:hint="eastAsia"/>
          <w:sz w:val="21"/>
          <w:szCs w:val="21"/>
        </w:rPr>
      </w:pPr>
      <w:r>
        <w:rPr>
          <w:rFonts w:hint="eastAsia"/>
          <w:sz w:val="21"/>
          <w:szCs w:val="21"/>
          <w:lang w:val="en-US" w:eastAsia="zh-CN"/>
        </w:rPr>
        <w:t>数据安全层构建覆盖传输、存储、访问的全链路防护体系。采用HTTPS双向加密传输敏感数据，通过区块链分片存储技术实现用户身份信息的分布式加密存储。基于RBAC（基于角色的访问控制）模型实施分级权限管理，确保疾控部门可全局分析疫情趋势，社区工作人员仅能查看脱敏后的行程轨迹，医护人员仅接触症状数据，从根源上杜绝数据泄露风险。例如，患者身份证号被动态掩码为“310*1990”，且每次调阅均需区块链存证，确保数据流转路径可追溯、不可篡改。</w:t>
      </w:r>
    </w:p>
    <w:p>
      <w:pPr>
        <w:pStyle w:val="4"/>
        <w:bidi w:val="0"/>
        <w:rPr>
          <w:rFonts w:hint="eastAsia"/>
          <w:sz w:val="21"/>
          <w:szCs w:val="21"/>
        </w:rPr>
      </w:pPr>
      <w:bookmarkStart w:id="27" w:name="_Toc30400"/>
      <w:r>
        <w:rPr>
          <w:rFonts w:hint="eastAsia"/>
          <w:sz w:val="21"/>
          <w:szCs w:val="21"/>
          <w:lang w:val="en-US" w:eastAsia="zh-CN"/>
        </w:rPr>
        <w:t>动态流调引擎：精准防控的技术基座</w:t>
      </w:r>
      <w:bookmarkEnd w:id="27"/>
    </w:p>
    <w:p>
      <w:pPr>
        <w:bidi w:val="0"/>
        <w:rPr>
          <w:rFonts w:hint="eastAsia"/>
          <w:sz w:val="21"/>
          <w:szCs w:val="21"/>
        </w:rPr>
      </w:pPr>
      <w:r>
        <w:rPr>
          <w:rFonts w:hint="eastAsia"/>
          <w:sz w:val="21"/>
          <w:szCs w:val="21"/>
          <w:lang w:val="en-US" w:eastAsia="zh-CN"/>
        </w:rPr>
        <w:t>动态流调引擎通过“智能生成-语义理解-逻辑校验-数据补全”四步闭环，重构传统流调流程，实现从被动应答到主动控场的范式升级。</w:t>
      </w:r>
    </w:p>
    <w:p>
      <w:pPr>
        <w:bidi w:val="0"/>
        <w:rPr>
          <w:rFonts w:hint="eastAsia"/>
          <w:sz w:val="21"/>
          <w:szCs w:val="21"/>
        </w:rPr>
      </w:pPr>
      <w:r>
        <w:rPr>
          <w:rFonts w:hint="eastAsia"/>
          <w:sz w:val="21"/>
          <w:szCs w:val="21"/>
          <w:lang w:val="en-US" w:eastAsia="zh-CN"/>
        </w:rPr>
        <w:t>智能问题生成模块基于传染病特征库与患者画像（如职业属性、基础疾病），动态生成三层递进式问题链。例如，面对冷链从业者，系统自动追加“防护装备佩戴时长”“货物接触频率”等专业问题；对糖尿病患者则细化“近期血糖监测记录”的采集。问题链的生成逻辑融合了强化学习算法，根据实时传播链特征（如密闭场所聚集性病例）动态调整问题颗粒度，确保关键信息无遗漏。</w:t>
      </w:r>
    </w:p>
    <w:p>
      <w:pPr>
        <w:bidi w:val="0"/>
        <w:rPr>
          <w:rFonts w:hint="eastAsia"/>
          <w:sz w:val="21"/>
          <w:szCs w:val="21"/>
        </w:rPr>
      </w:pPr>
      <w:r>
        <w:rPr>
          <w:rFonts w:hint="eastAsia"/>
          <w:sz w:val="21"/>
          <w:szCs w:val="21"/>
          <w:lang w:val="en-US" w:eastAsia="zh-CN"/>
        </w:rPr>
        <w:t>语义理解与逻辑校验模块通过深度学习算法解析用户模糊表述，结合知识图谱实时校验逻辑一致性。当检测到矛盾信息（如体温≥38.5℃但否认发热），系统触发智能追问机制，通过调整问题表述（如“请确认昨日体温是否超过37.3℃”）或插入示例说明（如“发热指腋温≥37.3℃”），确保数据真实性。例如，患者回答“前几天去过菜市场”时，系统自动映射为具体日期，并关联场所扫码记录补充详细轨迹。</w:t>
      </w:r>
    </w:p>
    <w:p>
      <w:pPr>
        <w:bidi w:val="0"/>
        <w:rPr>
          <w:rFonts w:hint="eastAsia"/>
          <w:sz w:val="21"/>
          <w:szCs w:val="21"/>
        </w:rPr>
      </w:pPr>
      <w:r>
        <w:rPr>
          <w:rFonts w:hint="eastAsia"/>
          <w:sz w:val="21"/>
          <w:szCs w:val="21"/>
          <w:lang w:val="en-US" w:eastAsia="zh-CN"/>
        </w:rPr>
        <w:t>缺失数据补全模块利用联邦学习技术整合多源异构数据（如交通卡口记录、用药历史），自动推算潜在接触链。例如，当患者未能提供完整行程时，系统通过运营商基站数据与场所扫码记录的时空交叉分析，补全其活动轨迹时间线，使信息完整率提升至98%以上，显著降低人工复核成本。</w:t>
      </w:r>
    </w:p>
    <w:p>
      <w:pPr>
        <w:pStyle w:val="4"/>
        <w:bidi w:val="0"/>
        <w:rPr>
          <w:rFonts w:hint="eastAsia"/>
          <w:sz w:val="21"/>
          <w:szCs w:val="21"/>
        </w:rPr>
      </w:pPr>
      <w:bookmarkStart w:id="28" w:name="_Toc32705"/>
      <w:r>
        <w:rPr>
          <w:rFonts w:hint="eastAsia"/>
          <w:sz w:val="21"/>
          <w:szCs w:val="21"/>
          <w:lang w:val="en-US" w:eastAsia="zh-CN"/>
        </w:rPr>
        <w:t>多模态数据融合：构建全域健康画像</w:t>
      </w:r>
      <w:bookmarkEnd w:id="28"/>
    </w:p>
    <w:p>
      <w:pPr>
        <w:bidi w:val="0"/>
        <w:rPr>
          <w:rFonts w:hint="eastAsia"/>
          <w:sz w:val="21"/>
          <w:szCs w:val="21"/>
        </w:rPr>
      </w:pPr>
      <w:r>
        <w:rPr>
          <w:rFonts w:hint="eastAsia"/>
          <w:sz w:val="21"/>
          <w:szCs w:val="21"/>
          <w:lang w:val="en-US" w:eastAsia="zh-CN"/>
        </w:rPr>
        <w:t>系统通过跨模态对齐算法，整合流调文本、医疗影像、可穿戴设备监测指标及地理信息数据，构建精准的个体与群体健康画像，为防控决策提供全景视角。</w:t>
      </w:r>
    </w:p>
    <w:p>
      <w:pPr>
        <w:bidi w:val="0"/>
        <w:rPr>
          <w:rFonts w:hint="eastAsia"/>
          <w:sz w:val="21"/>
          <w:szCs w:val="21"/>
        </w:rPr>
      </w:pPr>
      <w:r>
        <w:rPr>
          <w:rFonts w:hint="eastAsia"/>
          <w:sz w:val="21"/>
          <w:szCs w:val="21"/>
          <w:lang w:val="en-US" w:eastAsia="zh-CN"/>
        </w:rPr>
        <w:t>在感染类型判别场景中，系统实时关联患者主诉症状、用药记录与检验报告。例如，当患者主诉“持续咳嗽”时，模型自动解析电子病历中的C反应蛋白水平与肺部CT影像特征，结合体温波动曲线，生成细菌性感染概率分布图，并基于哮喘病史推送差异化用药建议（如优先使用支气管扩张剂）。</w:t>
      </w:r>
    </w:p>
    <w:p>
      <w:pPr>
        <w:bidi w:val="0"/>
        <w:rPr>
          <w:rFonts w:hint="eastAsia"/>
          <w:sz w:val="21"/>
          <w:szCs w:val="21"/>
        </w:rPr>
      </w:pPr>
      <w:r>
        <w:rPr>
          <w:rFonts w:hint="eastAsia"/>
          <w:sz w:val="21"/>
          <w:szCs w:val="21"/>
          <w:lang w:val="en-US" w:eastAsia="zh-CN"/>
        </w:rPr>
        <w:t>在区域疫情监测场景中，系统整合发热门诊数据、药店退热药销售记录及社交媒体舆情关键词，构建动态传播链模型。例如，某商场出现聚集性病例时，系统通过扫码时间与监控视频的时空匹配，15分钟内锁定超级传播者（如某摊位工作人员），并生成高风险接触者名单，较传统人工排查效率提升40倍。</w:t>
      </w:r>
    </w:p>
    <w:p>
      <w:pPr>
        <w:bidi w:val="0"/>
        <w:rPr>
          <w:rFonts w:hint="eastAsia"/>
          <w:sz w:val="21"/>
          <w:szCs w:val="21"/>
        </w:rPr>
      </w:pPr>
      <w:r>
        <w:rPr>
          <w:rFonts w:hint="eastAsia"/>
          <w:sz w:val="21"/>
          <w:szCs w:val="21"/>
          <w:lang w:val="en-US" w:eastAsia="zh-CN"/>
        </w:rPr>
        <w:t>在慢性病管理场景中，系统实时分析糖尿病患者的血糖波动趋势，结合饮食记录与运动量数据，生成动态干预方案。例如，当系统检测到患者连续三日空腹血糖值&gt;8mmol/L时，自动推送“减少主食摄入50克”的饮食建议，并同步提醒家庭医生调整胰岛素剂量。</w:t>
      </w:r>
    </w:p>
    <w:p>
      <w:pPr>
        <w:pStyle w:val="4"/>
        <w:bidi w:val="0"/>
        <w:rPr>
          <w:rFonts w:hint="eastAsia"/>
          <w:sz w:val="21"/>
          <w:szCs w:val="21"/>
        </w:rPr>
      </w:pPr>
      <w:bookmarkStart w:id="29" w:name="_Toc9476"/>
      <w:r>
        <w:rPr>
          <w:rFonts w:hint="eastAsia"/>
          <w:sz w:val="21"/>
          <w:szCs w:val="21"/>
          <w:lang w:val="en-US" w:eastAsia="zh-CN"/>
        </w:rPr>
        <w:t>闭环反馈与自进化机制：系统的持续优化能力</w:t>
      </w:r>
      <w:bookmarkEnd w:id="29"/>
    </w:p>
    <w:p>
      <w:pPr>
        <w:bidi w:val="0"/>
        <w:rPr>
          <w:rFonts w:hint="eastAsia"/>
          <w:sz w:val="21"/>
          <w:szCs w:val="21"/>
        </w:rPr>
      </w:pPr>
      <w:r>
        <w:rPr>
          <w:rFonts w:hint="eastAsia"/>
          <w:sz w:val="21"/>
          <w:szCs w:val="21"/>
          <w:lang w:val="en-US" w:eastAsia="zh-CN"/>
        </w:rPr>
        <w:t>系统通过“数据采集-分析-优化”的闭环驱动机制，实现模型性能与用户体验的持续升级。</w:t>
      </w:r>
    </w:p>
    <w:p>
      <w:pPr>
        <w:bidi w:val="0"/>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动态策略调整</w:t>
      </w:r>
      <w:r>
        <w:rPr>
          <w:rFonts w:hint="eastAsia" w:ascii="仿宋_GB2312" w:hAnsi="Times New Roman" w:eastAsia="仿宋_GB2312" w:cs="仿宋_GB2312"/>
          <w:color w:val="auto"/>
          <w:kern w:val="0"/>
          <w:sz w:val="21"/>
          <w:szCs w:val="21"/>
          <w:lang w:val="en-US" w:eastAsia="zh-CN" w:bidi="ar"/>
        </w:rPr>
        <w:t>模块实时监控流调数据缺失率与矛盾点分布，提取高频特征（如某区域患者频繁隐瞒职业暴露史），自动增加交叉验证类问题（如“请补充昨日工作场所消毒记录”）。例如，在流感高发期，系统识别到老年患者对“接触史”理解偏差较高，遂将问题表述优化为“最近三天是否与感冒的人一起吃饭”，并配以方言语音说明，使信息准确率提升25%。</w:t>
      </w:r>
    </w:p>
    <w:p>
      <w:pPr>
        <w:bidi w:val="0"/>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模型迭代训练</w:t>
      </w:r>
      <w:r>
        <w:rPr>
          <w:rFonts w:hint="eastAsia" w:ascii="仿宋_GB2312" w:hAnsi="Times New Roman" w:eastAsia="仿宋_GB2312" w:cs="仿宋_GB2312"/>
          <w:color w:val="auto"/>
          <w:kern w:val="0"/>
          <w:sz w:val="21"/>
          <w:szCs w:val="21"/>
          <w:lang w:val="en-US" w:eastAsia="zh-CN" w:bidi="ar"/>
        </w:rPr>
        <w:t>模块对比历史流调结果与预定义合理范围，利用强化学习算法优化问题生成策略。例如，针对免疫抑制患者，模型逐步增加“淋巴细胞计数”“激素剂量”等专业字段的采集权重，使重症风险预测准确率季度提升8%-12%。</w:t>
      </w:r>
    </w:p>
    <w:p>
      <w:pPr>
        <w:bidi w:val="0"/>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性能瓶颈突破</w:t>
      </w:r>
      <w:r>
        <w:rPr>
          <w:rFonts w:hint="eastAsia" w:ascii="仿宋_GB2312" w:hAnsi="Times New Roman" w:eastAsia="仿宋_GB2312" w:cs="仿宋_GB2312"/>
          <w:color w:val="auto"/>
          <w:kern w:val="0"/>
          <w:sz w:val="21"/>
          <w:szCs w:val="21"/>
          <w:lang w:val="en-US" w:eastAsia="zh-CN" w:bidi="ar"/>
        </w:rPr>
        <w:t>模块通过Elasticsearch动态索引技术分析接口响应效率，优化数据库查询冗余与模型推理延迟。例如，将高频调用的“症状-药品”关联查询结果缓存至边缘节点，使响应时间从800ms压缩至200ms以内，支撑单日百万级流调任务的高效处理。</w:t>
      </w:r>
    </w:p>
    <w:p>
      <w:pPr>
        <w:pStyle w:val="4"/>
        <w:bidi w:val="0"/>
        <w:rPr>
          <w:rFonts w:hint="eastAsia"/>
          <w:sz w:val="21"/>
          <w:szCs w:val="21"/>
        </w:rPr>
      </w:pPr>
      <w:bookmarkStart w:id="30" w:name="_Toc6548"/>
      <w:r>
        <w:rPr>
          <w:rFonts w:hint="eastAsia"/>
          <w:sz w:val="21"/>
          <w:szCs w:val="21"/>
          <w:lang w:val="en-US" w:eastAsia="zh-CN"/>
        </w:rPr>
        <w:t>安全与合规：隐私保护的技术防线</w:t>
      </w:r>
      <w:bookmarkEnd w:id="30"/>
    </w:p>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项目构建了覆盖数据全生命周期的“四层防护体系”，确保隐私安全与合规性。</w:t>
      </w:r>
    </w:p>
    <w:p>
      <w:pPr>
        <w:keepNext w:val="0"/>
        <w:keepLines w:val="0"/>
        <w:widowControl w:val="0"/>
        <w:suppressLineNumbers w:val="0"/>
        <w:spacing w:before="120" w:beforeAutospacing="0" w:after="120" w:afterAutospacing="0" w:line="288" w:lineRule="auto"/>
        <w:ind w:left="0" w:right="0" w:firstLine="42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传输层</w:t>
      </w:r>
      <w:r>
        <w:rPr>
          <w:rFonts w:hint="eastAsia" w:ascii="仿宋_GB2312" w:hAnsi="Times New Roman" w:eastAsia="仿宋_GB2312" w:cs="仿宋_GB2312"/>
          <w:color w:val="auto"/>
          <w:kern w:val="0"/>
          <w:sz w:val="21"/>
          <w:szCs w:val="21"/>
          <w:lang w:val="en-US" w:eastAsia="zh-CN" w:bidi="ar"/>
        </w:rPr>
        <w:t>采用HTTPS双向加密通信，防止数据在采集、传输过程中被截获或篡改。例如，患者通过小程序提交的流调信息在传输前进行端到端加密，即使遭遇中间人攻击也无法解析原始内容。</w:t>
      </w:r>
    </w:p>
    <w:p>
      <w:pPr>
        <w:keepNext w:val="0"/>
        <w:keepLines w:val="0"/>
        <w:widowControl w:val="0"/>
        <w:suppressLineNumbers w:val="0"/>
        <w:spacing w:before="120" w:beforeAutospacing="0" w:after="120" w:afterAutospacing="0" w:line="288" w:lineRule="auto"/>
        <w:ind w:left="0" w:right="0" w:firstLine="42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存储层</w:t>
      </w:r>
      <w:r>
        <w:rPr>
          <w:rFonts w:hint="eastAsia" w:ascii="仿宋_GB2312" w:hAnsi="Times New Roman" w:eastAsia="仿宋_GB2312" w:cs="仿宋_GB2312"/>
          <w:color w:val="auto"/>
          <w:kern w:val="0"/>
          <w:sz w:val="21"/>
          <w:szCs w:val="21"/>
          <w:lang w:val="en-US" w:eastAsia="zh-CN" w:bidi="ar"/>
        </w:rPr>
        <w:t>基于区块链分片存储技术，将敏感信息（如身份证号、住址）加密后分散存储于多个节点。例如，患者住址“上海市浦东新区XX路”被分割为三段密文，分别存储于疾控中心、医院与边缘节点，单一节点被攻破也无法还原完整数据。</w:t>
      </w:r>
    </w:p>
    <w:p>
      <w:pPr>
        <w:keepNext w:val="0"/>
        <w:keepLines w:val="0"/>
        <w:widowControl w:val="0"/>
        <w:suppressLineNumbers w:val="0"/>
        <w:spacing w:before="120" w:beforeAutospacing="0" w:after="120" w:afterAutospacing="0" w:line="288" w:lineRule="auto"/>
        <w:ind w:left="0" w:right="0" w:firstLine="42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应用层</w:t>
      </w:r>
      <w:r>
        <w:rPr>
          <w:rFonts w:hint="eastAsia" w:ascii="仿宋_GB2312" w:hAnsi="Times New Roman" w:eastAsia="仿宋_GB2312" w:cs="仿宋_GB2312"/>
          <w:color w:val="auto"/>
          <w:kern w:val="0"/>
          <w:sz w:val="21"/>
          <w:szCs w:val="21"/>
          <w:lang w:val="en-US" w:eastAsia="zh-CN" w:bidi="ar"/>
        </w:rPr>
        <w:t>通过RBAC模型实施精细化权限控制。例如，社区工作人员仅能查看本辖区的脱敏行程轨迹（如“XX商圈”），疾控中心可全局分析传播热力图，但无法访问患者身份信息。</w:t>
      </w:r>
    </w:p>
    <w:p>
      <w:pPr>
        <w:keepNext w:val="0"/>
        <w:keepLines w:val="0"/>
        <w:widowControl w:val="0"/>
        <w:suppressLineNumbers w:val="0"/>
        <w:spacing w:before="120" w:beforeAutospacing="0" w:after="120" w:afterAutospacing="0" w:line="288" w:lineRule="auto"/>
        <w:ind w:left="0" w:right="0" w:firstLine="42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销毁层</w:t>
      </w:r>
      <w:r>
        <w:rPr>
          <w:rFonts w:hint="eastAsia" w:ascii="仿宋_GB2312" w:hAnsi="Times New Roman" w:eastAsia="仿宋_GB2312" w:cs="仿宋_GB2312"/>
          <w:color w:val="auto"/>
          <w:kern w:val="0"/>
          <w:sz w:val="21"/>
          <w:szCs w:val="21"/>
          <w:lang w:val="en-US" w:eastAsia="zh-CN" w:bidi="ar"/>
        </w:rPr>
        <w:t>采用物理级数据擦除算法，确保留存周期结束后的信息不可恢复。例如，患者授权数据在保留180天后自动触发擦除程序，残留信息无法通过任何技术手段复原。</w:t>
      </w:r>
    </w:p>
    <w:p>
      <w:pPr>
        <w:pStyle w:val="4"/>
        <w:bidi w:val="0"/>
        <w:rPr>
          <w:rFonts w:hint="eastAsia"/>
          <w:sz w:val="21"/>
          <w:szCs w:val="21"/>
        </w:rPr>
      </w:pPr>
      <w:bookmarkStart w:id="31" w:name="_Toc24393"/>
      <w:r>
        <w:rPr>
          <w:rFonts w:hint="eastAsia"/>
          <w:sz w:val="21"/>
          <w:szCs w:val="21"/>
          <w:lang w:val="en-US" w:eastAsia="zh-CN"/>
        </w:rPr>
        <w:t>轻量化部署与场景延展</w:t>
      </w:r>
      <w:bookmarkEnd w:id="31"/>
    </w:p>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系统通过模块化设计与混合云架构，实现低成本、高适配的规模化落地。</w:t>
      </w:r>
    </w:p>
    <w:p>
      <w:pPr>
        <w:keepNext w:val="0"/>
        <w:keepLines w:val="0"/>
        <w:widowControl w:val="0"/>
        <w:suppressLineNumbers w:val="0"/>
        <w:spacing w:before="120" w:beforeAutospacing="0" w:after="120" w:afterAutospacing="0" w:line="288" w:lineRule="auto"/>
        <w:ind w:left="0" w:right="0" w:firstLine="42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基层医疗机构</w:t>
      </w:r>
      <w:r>
        <w:rPr>
          <w:rFonts w:hint="eastAsia" w:ascii="仿宋_GB2312" w:hAnsi="Times New Roman" w:eastAsia="仿宋_GB2312" w:cs="仿宋_GB2312"/>
          <w:color w:val="auto"/>
          <w:kern w:val="0"/>
          <w:sz w:val="21"/>
          <w:szCs w:val="21"/>
          <w:lang w:val="en-US" w:eastAsia="zh-CN" w:bidi="ar"/>
        </w:rPr>
        <w:t>通过边缘计算节点实现本地化部署，支持离线流调与数据脱敏。例如，某县域医院部署轻量化流调系统后，硬件成本降低60%，且响应时间&lt;500ms，即使在网络中断时仍可完成100人/日的流调任务。</w:t>
      </w:r>
    </w:p>
    <w:p>
      <w:pPr>
        <w:keepNext w:val="0"/>
        <w:keepLines w:val="0"/>
        <w:widowControl w:val="0"/>
        <w:suppressLineNumbers w:val="0"/>
        <w:spacing w:before="120" w:beforeAutospacing="0" w:after="120" w:afterAutospacing="0" w:line="288" w:lineRule="auto"/>
        <w:ind w:left="0" w:right="0" w:firstLine="42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多场景适配</w:t>
      </w:r>
      <w:r>
        <w:rPr>
          <w:rFonts w:hint="eastAsia" w:ascii="仿宋_GB2312" w:hAnsi="Times New Roman" w:eastAsia="仿宋_GB2312" w:cs="仿宋_GB2312"/>
          <w:color w:val="auto"/>
          <w:kern w:val="0"/>
          <w:sz w:val="21"/>
          <w:szCs w:val="21"/>
          <w:lang w:val="en-US" w:eastAsia="zh-CN" w:bidi="ar"/>
        </w:rPr>
        <w:t>能力使系统快速扩展至慢性病管理、灾害医学等场景。例如，在糖尿病管理模块中，系统自动生成随访问题链（如“本周是否出现手脚麻木”），并联动智能血糖仪数据生成用药提醒；在灾害救援场景中，结合GIS地理信息数据实时追踪伤员位置，智能规划救护车最优路径，将救援响应时间缩短40%。</w:t>
      </w:r>
    </w:p>
    <w:p>
      <w:pPr>
        <w:keepNext w:val="0"/>
        <w:keepLines w:val="0"/>
        <w:widowControl w:val="0"/>
        <w:suppressLineNumbers w:val="0"/>
        <w:spacing w:before="120" w:beforeAutospacing="0" w:after="120" w:afterAutospacing="0" w:line="288" w:lineRule="auto"/>
        <w:ind w:left="0" w:right="0" w:firstLine="42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生态协同</w:t>
      </w:r>
      <w:r>
        <w:rPr>
          <w:rFonts w:hint="eastAsia" w:ascii="仿宋_GB2312" w:hAnsi="Times New Roman" w:eastAsia="仿宋_GB2312" w:cs="仿宋_GB2312"/>
          <w:color w:val="auto"/>
          <w:kern w:val="0"/>
          <w:sz w:val="21"/>
          <w:szCs w:val="21"/>
          <w:lang w:val="en-US" w:eastAsia="zh-CN" w:bidi="ar"/>
        </w:rPr>
        <w:t xml:space="preserve">方面，开放API接口供开发者调用动态问答引擎，与可穿戴设备厂商联合预装健康监测模块。例如，与华为合作开发的手表端应用，可实时同步用户心率、血氧数据至流调系统，异常值自动触发复诊提醒，形成“硬件+数据+服务”的闭环生态。 </w:t>
      </w:r>
    </w:p>
    <w:p>
      <w:pPr>
        <w:pStyle w:val="3"/>
        <w:bidi w:val="0"/>
        <w:rPr>
          <w:rFonts w:hint="eastAsia"/>
          <w:sz w:val="21"/>
          <w:szCs w:val="21"/>
        </w:rPr>
      </w:pPr>
      <w:bookmarkStart w:id="32" w:name="_Toc29359"/>
      <w:r>
        <w:rPr>
          <w:rFonts w:hint="eastAsia"/>
          <w:sz w:val="21"/>
          <w:szCs w:val="21"/>
        </w:rPr>
        <w:t>主要功能</w:t>
      </w:r>
      <w:bookmarkEnd w:id="32"/>
    </w:p>
    <w:p>
      <w:pPr>
        <w:bidi w:val="0"/>
        <w:rPr>
          <w:rFonts w:hint="eastAsia"/>
          <w:sz w:val="21"/>
          <w:szCs w:val="21"/>
        </w:rPr>
      </w:pPr>
      <w:r>
        <w:rPr>
          <w:rFonts w:hint="eastAsia" w:ascii="仿宋" w:hAnsi="仿宋" w:eastAsia="仿宋" w:cs="仿宋"/>
          <w:sz w:val="21"/>
          <w:szCs w:val="21"/>
          <w:lang w:val="en-US" w:eastAsia="zh-CN"/>
        </w:rPr>
        <w:t>HEALINK</w:t>
      </w:r>
      <w:r>
        <w:rPr>
          <w:rFonts w:hint="eastAsia"/>
          <w:sz w:val="21"/>
          <w:szCs w:val="21"/>
          <w:lang w:val="en-US" w:eastAsia="zh-CN"/>
        </w:rPr>
        <w:t>项目以“精准防控”与“健康管理”双轨驱动为核心，构建覆盖公共卫生全链条的五大核心功能模块，通过技术创新与场景贯通，实现从数据采集到服务落地的闭环体系，为医疗机构、政府部门及公众提供智能化解决方案。</w:t>
      </w:r>
    </w:p>
    <w:p>
      <w:pPr>
        <w:pStyle w:val="4"/>
        <w:bidi w:val="0"/>
        <w:ind w:left="283" w:leftChars="0" w:hanging="283" w:firstLineChars="0"/>
        <w:outlineLvl w:val="2"/>
        <w:rPr>
          <w:rFonts w:hint="eastAsia"/>
          <w:sz w:val="21"/>
          <w:szCs w:val="21"/>
        </w:rPr>
      </w:pPr>
      <w:r>
        <w:rPr>
          <w:rFonts w:hint="eastAsia"/>
          <w:sz w:val="21"/>
          <w:szCs w:val="21"/>
          <w:lang w:val="en-US" w:eastAsia="zh-CN"/>
        </w:rPr>
        <w:t>发热门诊智能流调与实时预警</w:t>
      </w:r>
    </w:p>
    <w:p>
      <w:pPr>
        <w:bidi w:val="0"/>
        <w:ind w:left="0" w:leftChars="0" w:firstLine="0" w:firstLineChars="0"/>
        <w:rPr>
          <w:rFonts w:hint="eastAsia" w:ascii="仿宋_GB2312" w:eastAsia="仿宋_GB2312" w:cs="仿宋_GB2312"/>
          <w:color w:val="auto"/>
          <w:sz w:val="21"/>
          <w:szCs w:val="21"/>
        </w:rPr>
      </w:pPr>
      <w:r>
        <w:rPr>
          <w:rStyle w:val="25"/>
          <w:rFonts w:hint="eastAsia"/>
          <w:sz w:val="21"/>
          <w:szCs w:val="21"/>
          <w:lang w:val="en-US" w:eastAsia="zh-CN"/>
        </w:rPr>
        <w:tab/>
      </w:r>
      <w:r>
        <w:rPr>
          <w:rFonts w:hint="eastAsia" w:ascii="仿宋_GB2312" w:hAnsi="Times New Roman" w:eastAsia="仿宋_GB2312" w:cs="仿宋_GB2312"/>
          <w:color w:val="auto"/>
          <w:kern w:val="0"/>
          <w:sz w:val="21"/>
          <w:szCs w:val="21"/>
          <w:lang w:val="en-US" w:eastAsia="zh-CN" w:bidi="ar"/>
        </w:rPr>
        <w:t>系统基于传染病特征（如传播途径、潜伏期）与患者个体画像（职业属性、基础疾病、用药记录），自动生成分层问题链。例如，对冷链从业者追加“货物接触频率与防护措施”追问，对糖尿病患者关联血糖监测记录，确保关键信息无遗漏。问题链的生成逻辑融合了实时传播链特征（如密闭场所聚集性病例）与患者个性化医疗背景（如免疫抑制状态），动态调整问题颗粒度。例如，面对呼吸道传染病患者，系统自动识别其职业风险（如医护人员、公共交通从业者），追加“防护装备佩戴时长”“接触人群密度”等针对性问题，精准锁定潜在传播风险点。</w:t>
      </w:r>
    </w:p>
    <w:p>
      <w:pPr>
        <w:bidi w:val="0"/>
        <w:ind w:left="0" w:leftChars="0" w:firstLine="0" w:firstLineChars="0"/>
        <w:outlineLvl w:val="2"/>
        <w:rPr>
          <w:rFonts w:hint="eastAsia" w:ascii="仿宋_GB2312" w:eastAsia="仿宋_GB2312" w:cs="仿宋_GB2312"/>
          <w:color w:val="auto"/>
          <w:sz w:val="21"/>
          <w:szCs w:val="21"/>
        </w:rPr>
      </w:pPr>
      <w:r>
        <w:rPr>
          <w:rFonts w:hint="eastAsia" w:ascii="仿宋" w:hAnsi="仿宋" w:eastAsia="仿宋" w:cs="仿宋"/>
          <w:b w:val="0"/>
          <w:bCs/>
          <w:color w:val="auto"/>
          <w:kern w:val="0"/>
          <w:sz w:val="21"/>
          <w:szCs w:val="21"/>
          <w:lang w:val="en-US" w:eastAsia="zh-CN" w:bidi="ar"/>
        </w:rPr>
        <w:t>2.3.2. 无接触交互与自动化上报</w:t>
      </w:r>
      <w:r>
        <w:rPr>
          <w:rFonts w:hint="eastAsia" w:ascii="仿宋" w:hAnsi="仿宋" w:eastAsia="仿宋" w:cs="仿宋"/>
          <w:b w:val="0"/>
          <w:bCs/>
          <w:color w:val="auto"/>
          <w:kern w:val="0"/>
          <w:sz w:val="21"/>
          <w:szCs w:val="21"/>
          <w:lang w:val="en-US" w:eastAsia="zh-CN" w:bidi="ar"/>
        </w:rPr>
        <w:br w:type="textWrapping"/>
      </w:r>
      <w:r>
        <w:rPr>
          <w:rFonts w:hint="eastAsia" w:ascii="仿宋" w:hAnsi="仿宋" w:eastAsia="仿宋" w:cs="仿宋"/>
          <w:b w:val="0"/>
          <w:bCs/>
          <w:color w:val="auto"/>
          <w:kern w:val="0"/>
          <w:sz w:val="21"/>
          <w:szCs w:val="21"/>
          <w:lang w:val="en-US" w:eastAsia="zh-CN" w:bidi="ar"/>
        </w:rPr>
        <w:tab/>
      </w:r>
      <w:r>
        <w:rPr>
          <w:rFonts w:hint="eastAsia" w:ascii="仿宋_GB2312" w:hAnsi="Times New Roman" w:eastAsia="仿宋_GB2312" w:cs="仿宋_GB2312"/>
          <w:color w:val="auto"/>
          <w:kern w:val="0"/>
          <w:sz w:val="21"/>
          <w:szCs w:val="21"/>
          <w:lang w:val="en-US" w:eastAsia="zh-CN" w:bidi="ar"/>
        </w:rPr>
        <w:t>患者可通过扫码或语音输入完成信息提交，系统自动填充电子健康码中的身份信息、行程轨迹等基础字段，减少重复录入。流调结果实时同步至医院HIS系统与国家疾控数据库，异常指标（如持续高热、血氧饱和度&lt;93%）自动触发智能分诊，直连三甲医院远程会诊平台。医护人员可通过移动端实时查看区域流调热力图，动态调整防控策略。例如，在甲流高发期，系统通过分析发热患者时空轨迹与药店退热药销售数据，快速识别学校、商场等聚集性传播热点，辅助疾控部门1小时内划定精准防控范围，避免传统模式中因人工统计滞后导致的疫情扩散。</w:t>
      </w:r>
    </w:p>
    <w:p>
      <w:pPr>
        <w:keepNext w:val="0"/>
        <w:keepLines w:val="0"/>
        <w:widowControl w:val="0"/>
        <w:suppressLineNumbers w:val="0"/>
        <w:spacing w:before="120" w:beforeAutospacing="0" w:after="120" w:afterAutospacing="0" w:line="288" w:lineRule="auto"/>
        <w:ind w:left="0" w:leftChars="0" w:right="0" w:firstLine="0" w:firstLineChars="0"/>
        <w:jc w:val="left"/>
        <w:outlineLvl w:val="2"/>
        <w:rPr>
          <w:rFonts w:hint="eastAsia" w:ascii="仿宋_GB2312" w:eastAsia="仿宋_GB2312" w:cs="仿宋_GB2312"/>
          <w:color w:val="auto"/>
          <w:sz w:val="21"/>
          <w:szCs w:val="21"/>
        </w:rPr>
      </w:pPr>
      <w:r>
        <w:rPr>
          <w:rFonts w:hint="eastAsia" w:ascii="仿宋" w:hAnsi="仿宋" w:eastAsia="仿宋" w:cs="仿宋"/>
          <w:b w:val="0"/>
          <w:bCs/>
          <w:color w:val="auto"/>
          <w:kern w:val="0"/>
          <w:sz w:val="21"/>
          <w:szCs w:val="21"/>
          <w:lang w:val="en-US" w:eastAsia="zh-CN" w:bidi="ar"/>
        </w:rPr>
        <w:t>2.3.3.离院患者动态追踪</w:t>
      </w:r>
      <w:r>
        <w:rPr>
          <w:rFonts w:hint="eastAsia" w:ascii="仿宋_GB2312" w:hAnsi="Times New Roman" w:eastAsia="仿宋_GB2312" w:cs="仿宋_GB2312"/>
          <w:color w:val="auto"/>
          <w:kern w:val="0"/>
          <w:sz w:val="21"/>
          <w:szCs w:val="21"/>
          <w:lang w:val="en-US" w:eastAsia="zh-CN" w:bidi="ar"/>
        </w:rPr>
        <w:br w:type="textWrapping"/>
      </w:r>
      <w:r>
        <w:rPr>
          <w:rFonts w:hint="eastAsia" w:ascii="仿宋_GB2312" w:hAnsi="Times New Roman" w:eastAsia="仿宋_GB2312" w:cs="仿宋_GB2312"/>
          <w:color w:val="auto"/>
          <w:kern w:val="0"/>
          <w:sz w:val="21"/>
          <w:szCs w:val="21"/>
          <w:lang w:val="en-US" w:eastAsia="zh-CN" w:bidi="ar"/>
        </w:rPr>
        <w:t>构建“门诊-家庭”健康监测闭环，患者离院后通过小程序自主上报体温、用药情况等数据，异常值（如体温复升&gt;38.5℃）自动推送复诊提醒至家庭医生。对于慢性病患者，系统结合可穿戴设备监测指标（如血糖波动、血压趋势），生成个性化健康干预方案。例如，糖尿病患者可通过智能血糖仪实时上传数据，系统结合饮食记录与运动量分析，动态调整胰岛素剂量建议，并发症发生率显著降低。</w:t>
      </w:r>
    </w:p>
    <w:p>
      <w:pPr>
        <w:pStyle w:val="4"/>
        <w:numPr>
          <w:numId w:val="0"/>
        </w:numPr>
        <w:bidi w:val="0"/>
        <w:ind w:leftChars="0"/>
        <w:outlineLvl w:val="2"/>
        <w:rPr>
          <w:rFonts w:hint="eastAsia" w:ascii="仿宋" w:hAnsi="仿宋" w:eastAsia="仿宋" w:cs="仿宋"/>
          <w:b w:val="0"/>
          <w:bCs w:val="0"/>
          <w:sz w:val="21"/>
          <w:szCs w:val="21"/>
        </w:rPr>
      </w:pPr>
      <w:r>
        <w:rPr>
          <w:rFonts w:hint="eastAsia" w:ascii="仿宋" w:hAnsi="仿宋" w:eastAsia="仿宋" w:cs="仿宋"/>
          <w:b w:val="0"/>
          <w:bCs w:val="0"/>
          <w:sz w:val="21"/>
          <w:szCs w:val="21"/>
          <w:lang w:val="en-US" w:eastAsia="zh-CN"/>
        </w:rPr>
        <w:t>2.3.4.全民健康管家与个性化服务</w:t>
      </w:r>
    </w:p>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cs="仿宋_GB2312"/>
          <w:color w:val="auto"/>
          <w:kern w:val="0"/>
          <w:sz w:val="21"/>
          <w:szCs w:val="21"/>
          <w:lang w:val="en-US" w:eastAsia="zh-CN" w:bidi="ar"/>
        </w:rPr>
        <w:t>本项目</w:t>
      </w:r>
      <w:r>
        <w:rPr>
          <w:rFonts w:hint="eastAsia" w:ascii="仿宋_GB2312" w:hAnsi="Times New Roman" w:eastAsia="仿宋_GB2312" w:cs="仿宋_GB2312"/>
          <w:color w:val="auto"/>
          <w:kern w:val="0"/>
          <w:sz w:val="21"/>
          <w:szCs w:val="21"/>
          <w:lang w:val="en-US" w:eastAsia="zh-CN" w:bidi="ar"/>
        </w:rPr>
        <w:t>从单一传染病防控延伸至全生命周期健康管理，构建“自查-干预-跟踪”服务闭环。</w:t>
      </w:r>
    </w:p>
    <w:p>
      <w:pPr>
        <w:keepNext w:val="0"/>
        <w:keepLines w:val="0"/>
        <w:widowControl w:val="0"/>
        <w:suppressLineNumbers w:val="0"/>
        <w:spacing w:before="120" w:beforeAutospacing="0" w:after="120" w:afterAutospacing="0" w:line="288" w:lineRule="auto"/>
        <w:ind w:left="0" w:leftChars="0" w:right="0" w:firstLine="0" w:firstLineChars="0"/>
        <w:jc w:val="left"/>
        <w:outlineLvl w:val="3"/>
        <w:rPr>
          <w:rFonts w:hint="eastAsia" w:ascii="仿宋_GB2312" w:eastAsia="仿宋_GB2312" w:cs="仿宋_GB2312"/>
          <w:color w:val="auto"/>
          <w:sz w:val="21"/>
          <w:szCs w:val="21"/>
        </w:rPr>
      </w:pPr>
      <w:r>
        <w:rPr>
          <w:rFonts w:hint="eastAsia" w:ascii="仿宋" w:hAnsi="仿宋" w:eastAsia="仿宋" w:cs="仿宋"/>
          <w:b w:val="0"/>
          <w:bCs/>
          <w:color w:val="auto"/>
          <w:kern w:val="0"/>
          <w:sz w:val="21"/>
          <w:szCs w:val="21"/>
          <w:lang w:val="en-US" w:eastAsia="zh-CN" w:bidi="ar"/>
        </w:rPr>
        <w:t>2.3.4.1.健康档案动态构建</w:t>
      </w:r>
      <w:r>
        <w:rPr>
          <w:rFonts w:hint="eastAsia" w:ascii="仿宋_GB2312" w:hAnsi="Times New Roman" w:eastAsia="仿宋_GB2312" w:cs="仿宋_GB2312"/>
          <w:color w:val="auto"/>
          <w:kern w:val="0"/>
          <w:sz w:val="21"/>
          <w:szCs w:val="21"/>
          <w:lang w:val="en-US" w:eastAsia="zh-CN" w:bidi="ar"/>
        </w:rPr>
        <w:br w:type="textWrapping"/>
      </w:r>
      <w:r>
        <w:rPr>
          <w:rFonts w:hint="eastAsia" w:ascii="仿宋_GB2312" w:hAnsi="Times New Roman" w:eastAsia="仿宋_GB2312" w:cs="仿宋_GB2312"/>
          <w:color w:val="auto"/>
          <w:kern w:val="0"/>
          <w:sz w:val="21"/>
          <w:szCs w:val="21"/>
          <w:lang w:val="en-US" w:eastAsia="zh-CN" w:bidi="ar"/>
        </w:rPr>
        <w:t>用户通过小程序完成生活习惯、家族病史等问卷，系统整合可穿戴设备数据（心率、睡眠质量、运动量）与电子病历信息，生成多维健康评分报告，识别亚健康风险（如代谢综合征前期）。报告涵盖生理指标趋势分析（如血压波动曲线）、疾病预警（如糖尿病肾病概率）及分诊建议（如社区医院首诊或急诊优先），为用户提供从风险识别到行动指导的完整路径。</w:t>
      </w:r>
    </w:p>
    <w:p>
      <w:pPr>
        <w:keepNext w:val="0"/>
        <w:keepLines w:val="0"/>
        <w:widowControl w:val="0"/>
        <w:suppressLineNumbers w:val="0"/>
        <w:spacing w:before="120" w:beforeAutospacing="0" w:after="120" w:afterAutospacing="0" w:line="288" w:lineRule="auto"/>
        <w:ind w:left="0" w:leftChars="0" w:right="0" w:firstLine="0" w:firstLineChars="0"/>
        <w:jc w:val="left"/>
        <w:outlineLvl w:val="3"/>
        <w:rPr>
          <w:rFonts w:hint="eastAsia" w:ascii="仿宋_GB2312" w:eastAsia="仿宋_GB2312" w:cs="仿宋_GB2312"/>
          <w:color w:val="auto"/>
          <w:sz w:val="21"/>
          <w:szCs w:val="21"/>
        </w:rPr>
      </w:pPr>
      <w:r>
        <w:rPr>
          <w:rFonts w:hint="eastAsia" w:ascii="仿宋" w:hAnsi="仿宋" w:eastAsia="仿宋" w:cs="仿宋"/>
          <w:b w:val="0"/>
          <w:bCs/>
          <w:color w:val="auto"/>
          <w:kern w:val="0"/>
          <w:sz w:val="21"/>
          <w:szCs w:val="21"/>
          <w:lang w:val="en-US" w:eastAsia="zh-CN" w:bidi="ar"/>
        </w:rPr>
        <w:t>2.3.4.2.慢性病精准管理</w:t>
      </w:r>
      <w:r>
        <w:rPr>
          <w:rFonts w:hint="eastAsia" w:ascii="仿宋_GB2312" w:hAnsi="Times New Roman" w:eastAsia="仿宋_GB2312" w:cs="仿宋_GB2312"/>
          <w:color w:val="auto"/>
          <w:kern w:val="0"/>
          <w:sz w:val="21"/>
          <w:szCs w:val="21"/>
          <w:lang w:val="en-US" w:eastAsia="zh-CN" w:bidi="ar"/>
        </w:rPr>
        <w:br w:type="textWrapping"/>
      </w:r>
      <w:r>
        <w:rPr>
          <w:rFonts w:hint="eastAsia" w:ascii="仿宋_GB2312" w:hAnsi="Times New Roman" w:eastAsia="仿宋_GB2312" w:cs="仿宋_GB2312"/>
          <w:color w:val="auto"/>
          <w:kern w:val="0"/>
          <w:sz w:val="21"/>
          <w:szCs w:val="21"/>
          <w:lang w:val="en-US" w:eastAsia="zh-CN" w:bidi="ar"/>
        </w:rPr>
        <w:t>针对高血压、糖尿病等患者，系统提供全周期管理服务：实时监测智能设备上传的血糖、血压数据，结合用药记录生成动态干预方案。例如，当系统检测到空腹血糖连续三日超阈值时，自动推送“减少主食摄入50克/日”的饮食建议，并同步提醒家庭医生调整胰岛素剂量。对于高血压患者，系统分析其用药依从性与血压波动规律，生成个性化用药时间提醒（如“每日上午10点服用降压药”），降低因漏服药物导致的并发症风险。</w:t>
      </w:r>
    </w:p>
    <w:p>
      <w:pPr>
        <w:keepNext w:val="0"/>
        <w:keepLines w:val="0"/>
        <w:widowControl w:val="0"/>
        <w:suppressLineNumbers w:val="0"/>
        <w:spacing w:before="120" w:beforeAutospacing="0" w:after="120" w:afterAutospacing="0" w:line="288" w:lineRule="auto"/>
        <w:ind w:left="0" w:leftChars="0" w:right="0" w:firstLine="0" w:firstLineChars="0"/>
        <w:jc w:val="left"/>
        <w:outlineLvl w:val="3"/>
        <w:rPr>
          <w:rFonts w:hint="eastAsia" w:ascii="仿宋_GB2312" w:eastAsia="仿宋_GB2312" w:cs="仿宋_GB2312"/>
          <w:color w:val="auto"/>
          <w:sz w:val="21"/>
          <w:szCs w:val="21"/>
        </w:rPr>
      </w:pPr>
      <w:r>
        <w:rPr>
          <w:rFonts w:hint="eastAsia" w:ascii="仿宋" w:hAnsi="仿宋" w:eastAsia="仿宋" w:cs="仿宋"/>
          <w:b w:val="0"/>
          <w:bCs/>
          <w:color w:val="auto"/>
          <w:kern w:val="0"/>
          <w:sz w:val="21"/>
          <w:szCs w:val="21"/>
          <w:lang w:val="en-US" w:eastAsia="zh-CN" w:bidi="ar"/>
        </w:rPr>
        <w:t>2.3.4.3.心理健康支持与情绪管理</w:t>
      </w:r>
      <w:r>
        <w:rPr>
          <w:rFonts w:hint="eastAsia" w:ascii="仿宋_GB2312" w:hAnsi="Times New Roman" w:eastAsia="仿宋_GB2312" w:cs="仿宋_GB2312"/>
          <w:color w:val="auto"/>
          <w:kern w:val="0"/>
          <w:sz w:val="21"/>
          <w:szCs w:val="21"/>
          <w:lang w:val="en-US" w:eastAsia="zh-CN" w:bidi="ar"/>
        </w:rPr>
        <w:br w:type="textWrapping"/>
      </w:r>
      <w:r>
        <w:rPr>
          <w:rFonts w:hint="eastAsia" w:ascii="仿宋_GB2312" w:hAnsi="Times New Roman" w:eastAsia="仿宋_GB2312" w:cs="仿宋_GB2312"/>
          <w:color w:val="auto"/>
          <w:kern w:val="0"/>
          <w:sz w:val="21"/>
          <w:szCs w:val="21"/>
          <w:lang w:val="en-US" w:eastAsia="zh-CN" w:bidi="ar"/>
        </w:rPr>
        <w:t>通过自然语言处理技术解析用户文字或语音输入中的情绪信号（如焦虑、抑郁倾向），结合可穿戴设备监测的生理指标（如心率变异性、睡眠质量），提供分级干预方案。例如，用户描述“近期压力大、入睡困难”时，系统自动推荐正念冥想课程，并同步分析其睡眠数据，推送“睡前避免蓝光照射”等行为建议。对于高风险情绪异常（如持续失眠伴情绪低落），系统转介至合作心理咨询师，形成“自查-预警-干预”闭环。</w:t>
      </w:r>
    </w:p>
    <w:p>
      <w:pPr>
        <w:pStyle w:val="4"/>
        <w:numPr>
          <w:numId w:val="0"/>
        </w:numPr>
        <w:bidi w:val="0"/>
        <w:ind w:leftChars="0"/>
        <w:outlineLvl w:val="2"/>
        <w:rPr>
          <w:rFonts w:hint="eastAsia" w:ascii="仿宋" w:hAnsi="仿宋" w:eastAsia="仿宋" w:cs="仿宋"/>
          <w:b w:val="0"/>
          <w:bCs w:val="0"/>
          <w:sz w:val="21"/>
          <w:szCs w:val="21"/>
        </w:rPr>
      </w:pPr>
      <w:r>
        <w:rPr>
          <w:rFonts w:hint="eastAsia" w:ascii="仿宋" w:hAnsi="仿宋" w:eastAsia="仿宋" w:cs="仿宋"/>
          <w:b w:val="0"/>
          <w:bCs w:val="0"/>
          <w:sz w:val="21"/>
          <w:szCs w:val="21"/>
          <w:lang w:val="en-US" w:eastAsia="zh-CN"/>
        </w:rPr>
        <w:t>2.3.5.数据驱动的智能预警与决策支持</w:t>
      </w:r>
    </w:p>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cs="仿宋_GB2312"/>
          <w:color w:val="auto"/>
          <w:kern w:val="0"/>
          <w:sz w:val="21"/>
          <w:szCs w:val="21"/>
          <w:lang w:val="en-US" w:eastAsia="zh-CN" w:bidi="ar"/>
        </w:rPr>
        <w:t>本项目</w:t>
      </w:r>
      <w:r>
        <w:rPr>
          <w:rFonts w:hint="eastAsia" w:ascii="仿宋_GB2312" w:hAnsi="Times New Roman" w:eastAsia="仿宋_GB2312" w:cs="仿宋_GB2312"/>
          <w:color w:val="auto"/>
          <w:kern w:val="0"/>
          <w:sz w:val="21"/>
          <w:szCs w:val="21"/>
          <w:lang w:val="en-US" w:eastAsia="zh-CN" w:bidi="ar"/>
        </w:rPr>
        <w:t>为政府与疾控部门提供数据驱动的防控决策工具，破解传统模式下“信息滞后、资源错配”的难题。</w:t>
      </w:r>
    </w:p>
    <w:p>
      <w:pPr>
        <w:keepNext w:val="0"/>
        <w:keepLines w:val="0"/>
        <w:widowControl w:val="0"/>
        <w:suppressLineNumbers w:val="0"/>
        <w:spacing w:before="120" w:beforeAutospacing="0" w:after="120" w:afterAutospacing="0" w:line="288" w:lineRule="auto"/>
        <w:ind w:left="0" w:leftChars="0" w:right="0" w:firstLine="0" w:firstLineChars="0"/>
        <w:jc w:val="left"/>
        <w:outlineLvl w:val="3"/>
        <w:rPr>
          <w:rFonts w:hint="eastAsia" w:ascii="仿宋_GB2312" w:eastAsia="仿宋_GB2312" w:cs="仿宋_GB2312"/>
          <w:color w:val="auto"/>
          <w:sz w:val="21"/>
          <w:szCs w:val="21"/>
        </w:rPr>
      </w:pPr>
      <w:r>
        <w:rPr>
          <w:rFonts w:hint="eastAsia" w:ascii="仿宋_GB2312" w:hAnsi="Times New Roman" w:cs="仿宋_GB2312"/>
          <w:b w:val="0"/>
          <w:bCs/>
          <w:color w:val="auto"/>
          <w:kern w:val="0"/>
          <w:sz w:val="21"/>
          <w:szCs w:val="21"/>
          <w:lang w:val="en-US" w:eastAsia="zh-CN" w:bidi="ar"/>
        </w:rPr>
        <w:t>2.3.5.1.</w:t>
      </w:r>
      <w:r>
        <w:rPr>
          <w:rFonts w:hint="eastAsia" w:ascii="仿宋_GB2312" w:hAnsi="Times New Roman" w:eastAsia="仿宋_GB2312" w:cs="仿宋_GB2312"/>
          <w:b w:val="0"/>
          <w:bCs/>
          <w:color w:val="auto"/>
          <w:kern w:val="0"/>
          <w:sz w:val="21"/>
          <w:szCs w:val="21"/>
          <w:lang w:val="en-US" w:eastAsia="zh-CN" w:bidi="ar"/>
        </w:rPr>
        <w:t>区域疫情热力图与传播链分析</w:t>
      </w:r>
      <w:r>
        <w:rPr>
          <w:rFonts w:hint="eastAsia" w:ascii="仿宋_GB2312" w:hAnsi="Times New Roman" w:eastAsia="仿宋_GB2312" w:cs="仿宋_GB2312"/>
          <w:color w:val="auto"/>
          <w:kern w:val="0"/>
          <w:sz w:val="21"/>
          <w:szCs w:val="21"/>
          <w:lang w:val="en-US" w:eastAsia="zh-CN" w:bidi="ar"/>
        </w:rPr>
        <w:br w:type="textWrapping"/>
      </w:r>
      <w:r>
        <w:rPr>
          <w:rFonts w:hint="eastAsia" w:ascii="仿宋_GB2312" w:hAnsi="Times New Roman" w:cs="仿宋_GB2312"/>
          <w:color w:val="auto"/>
          <w:kern w:val="0"/>
          <w:sz w:val="21"/>
          <w:szCs w:val="21"/>
          <w:lang w:val="en-US" w:eastAsia="zh-CN" w:bidi="ar"/>
        </w:rPr>
        <w:tab/>
        <w:t>系统</w:t>
      </w:r>
      <w:r>
        <w:rPr>
          <w:rFonts w:hint="eastAsia" w:ascii="仿宋_GB2312" w:hAnsi="Times New Roman" w:eastAsia="仿宋_GB2312" w:cs="仿宋_GB2312"/>
          <w:color w:val="auto"/>
          <w:kern w:val="0"/>
          <w:sz w:val="21"/>
          <w:szCs w:val="21"/>
          <w:lang w:val="en-US" w:eastAsia="zh-CN" w:bidi="ar"/>
        </w:rPr>
        <w:t>整合发热门诊数据、药店退热药销售记录、交通卡口人流密度等多模态信息，构建动态传播风险模型。例如，某商场出现聚集性病例时，系统通过扫码时间与病例轨迹交叉分析，15分钟内定位超级传播者（如某摊位工作人员），并生成高风险接触者名单，辅助疾控部门精准划定0.5平方公里封控范围，避免经济损失超1亿元。系统还可关联社交媒体舆情关键词（如“咳嗽”“发热”），实时捕捉公众健康诉求变化，为政府提供早期预警信号。</w:t>
      </w:r>
    </w:p>
    <w:p>
      <w:pPr>
        <w:keepNext w:val="0"/>
        <w:keepLines w:val="0"/>
        <w:widowControl w:val="0"/>
        <w:suppressLineNumbers w:val="0"/>
        <w:spacing w:before="120" w:beforeAutospacing="0" w:after="120" w:afterAutospacing="0" w:line="288" w:lineRule="auto"/>
        <w:ind w:left="210" w:leftChars="0" w:right="0" w:hanging="210" w:hangingChars="100"/>
        <w:jc w:val="left"/>
        <w:outlineLvl w:val="3"/>
        <w:rPr>
          <w:rFonts w:hint="eastAsia" w:ascii="仿宋_GB2312" w:eastAsia="仿宋_GB2312" w:cs="仿宋_GB2312"/>
          <w:color w:val="auto"/>
          <w:sz w:val="21"/>
          <w:szCs w:val="21"/>
        </w:rPr>
      </w:pPr>
      <w:r>
        <w:rPr>
          <w:rFonts w:hint="eastAsia" w:ascii="仿宋" w:hAnsi="仿宋" w:eastAsia="仿宋" w:cs="仿宋"/>
          <w:b w:val="0"/>
          <w:bCs/>
          <w:color w:val="auto"/>
          <w:kern w:val="0"/>
          <w:sz w:val="21"/>
          <w:szCs w:val="21"/>
          <w:lang w:val="en-US" w:eastAsia="zh-CN" w:bidi="ar"/>
        </w:rPr>
        <w:t>2.3.5.2.分级响应与资源调度优化</w:t>
      </w:r>
      <w:r>
        <w:rPr>
          <w:rFonts w:hint="eastAsia" w:ascii="仿宋_GB2312" w:hAnsi="Times New Roman" w:eastAsia="仿宋_GB2312" w:cs="仿宋_GB2312"/>
          <w:color w:val="auto"/>
          <w:kern w:val="0"/>
          <w:sz w:val="21"/>
          <w:szCs w:val="21"/>
          <w:lang w:val="en-US" w:eastAsia="zh-CN" w:bidi="ar"/>
        </w:rPr>
        <w:br w:type="textWrapping"/>
      </w:r>
      <w:r>
        <w:rPr>
          <w:rFonts w:hint="eastAsia" w:ascii="仿宋_GB2312" w:hAnsi="Times New Roman" w:cs="仿宋_GB2312"/>
          <w:color w:val="auto"/>
          <w:kern w:val="0"/>
          <w:sz w:val="21"/>
          <w:szCs w:val="21"/>
          <w:lang w:val="en-US" w:eastAsia="zh-CN" w:bidi="ar"/>
        </w:rPr>
        <w:t>系统</w:t>
      </w:r>
      <w:r>
        <w:rPr>
          <w:rFonts w:hint="eastAsia" w:ascii="仿宋_GB2312" w:hAnsi="Times New Roman" w:eastAsia="仿宋_GB2312" w:cs="仿宋_GB2312"/>
          <w:color w:val="auto"/>
          <w:kern w:val="0"/>
          <w:sz w:val="21"/>
          <w:szCs w:val="21"/>
          <w:lang w:val="en-US" w:eastAsia="zh-CN" w:bidi="ar"/>
        </w:rPr>
        <w:t>建立蓝、黄、红三级预警机制，根据病例密度与传播速率动态调整响应策略。蓝色预警时，系统推送加强场所消毒、学校晨检等基础防控建议；红色预警时，启动应急响应，智能规划核酸检测点布局与医疗物资分配路径。例如，在疫情暴发期，系统基于医院接诊能力与病例分布预测，优化抗原试剂投放优先级，确保高风险区域资源供给充足，应急资源利用率提升50%。</w:t>
      </w:r>
    </w:p>
    <w:p>
      <w:pPr>
        <w:keepNext w:val="0"/>
        <w:keepLines w:val="0"/>
        <w:widowControl w:val="0"/>
        <w:suppressLineNumbers w:val="0"/>
        <w:spacing w:before="120" w:beforeAutospacing="0" w:after="120" w:afterAutospacing="0" w:line="288" w:lineRule="auto"/>
        <w:ind w:left="0" w:leftChars="0" w:right="0" w:firstLine="0" w:firstLineChars="0"/>
        <w:jc w:val="left"/>
        <w:outlineLvl w:val="3"/>
        <w:rPr>
          <w:rFonts w:hint="eastAsia" w:ascii="仿宋_GB2312" w:eastAsia="仿宋_GB2312" w:cs="仿宋_GB2312"/>
          <w:color w:val="auto"/>
          <w:sz w:val="21"/>
          <w:szCs w:val="21"/>
        </w:rPr>
      </w:pPr>
      <w:r>
        <w:rPr>
          <w:rFonts w:hint="eastAsia" w:ascii="仿宋" w:hAnsi="仿宋" w:eastAsia="仿宋" w:cs="仿宋"/>
          <w:b w:val="0"/>
          <w:bCs/>
          <w:color w:val="auto"/>
          <w:kern w:val="0"/>
          <w:sz w:val="21"/>
          <w:szCs w:val="21"/>
          <w:lang w:val="en-US" w:eastAsia="zh-CN" w:bidi="ar"/>
        </w:rPr>
        <w:t>2.3.5.3.公共卫生政策仿真推演</w:t>
      </w:r>
      <w:r>
        <w:rPr>
          <w:rFonts w:hint="eastAsia" w:ascii="仿宋_GB2312" w:hAnsi="Times New Roman" w:eastAsia="仿宋_GB2312" w:cs="仿宋_GB2312"/>
          <w:color w:val="auto"/>
          <w:kern w:val="0"/>
          <w:sz w:val="21"/>
          <w:szCs w:val="21"/>
          <w:lang w:val="en-US" w:eastAsia="zh-CN" w:bidi="ar"/>
        </w:rPr>
        <w:br w:type="textWrapping"/>
      </w:r>
      <w:r>
        <w:rPr>
          <w:rFonts w:hint="eastAsia" w:ascii="仿宋_GB2312" w:hAnsi="Times New Roman" w:cs="仿宋_GB2312"/>
          <w:color w:val="auto"/>
          <w:kern w:val="0"/>
          <w:sz w:val="21"/>
          <w:szCs w:val="21"/>
          <w:lang w:val="en-US" w:eastAsia="zh-CN" w:bidi="ar"/>
        </w:rPr>
        <w:tab/>
        <w:t>系统</w:t>
      </w:r>
      <w:r>
        <w:rPr>
          <w:rFonts w:hint="eastAsia" w:ascii="仿宋_GB2312" w:hAnsi="Times New Roman" w:eastAsia="仿宋_GB2312" w:cs="仿宋_GB2312"/>
          <w:color w:val="auto"/>
          <w:kern w:val="0"/>
          <w:sz w:val="21"/>
          <w:szCs w:val="21"/>
          <w:lang w:val="en-US" w:eastAsia="zh-CN" w:bidi="ar"/>
        </w:rPr>
        <w:t>基于强化学习算法构建政策效果预测模型，模拟不同防控策略（如封控范围、疫苗接种优先级）对疫情传播与经济损失的影响。例如，系统可量化评估“部分封控”与“全员核酸”的成本效益差异，为政府提供数据驱动的决策依据，避免“一刀切”防控导致的资源浪费。</w:t>
      </w:r>
    </w:p>
    <w:p>
      <w:pPr>
        <w:pStyle w:val="4"/>
        <w:numPr>
          <w:numId w:val="0"/>
        </w:numPr>
        <w:bidi w:val="0"/>
        <w:ind w:leftChars="0"/>
        <w:outlineLvl w:val="2"/>
        <w:rPr>
          <w:rFonts w:hint="eastAsia" w:ascii="仿宋" w:hAnsi="仿宋" w:eastAsia="仿宋" w:cs="仿宋"/>
          <w:b w:val="0"/>
          <w:bCs w:val="0"/>
          <w:sz w:val="21"/>
          <w:szCs w:val="21"/>
        </w:rPr>
      </w:pPr>
      <w:r>
        <w:rPr>
          <w:rFonts w:hint="eastAsia" w:ascii="仿宋" w:hAnsi="仿宋" w:eastAsia="仿宋" w:cs="仿宋"/>
          <w:b w:val="0"/>
          <w:bCs w:val="0"/>
          <w:sz w:val="21"/>
          <w:szCs w:val="21"/>
          <w:lang w:val="en-US" w:eastAsia="zh-CN"/>
        </w:rPr>
        <w:t>2.3.6.多场景生态扩展与协同服务</w:t>
      </w:r>
    </w:p>
    <w:p>
      <w:pPr>
        <w:keepNext w:val="0"/>
        <w:keepLines w:val="0"/>
        <w:widowControl w:val="0"/>
        <w:suppressLineNumbers w:val="0"/>
        <w:spacing w:before="120" w:beforeAutospacing="0" w:after="120" w:afterAutospacing="0" w:line="288" w:lineRule="auto"/>
        <w:ind w:left="0" w:right="0"/>
        <w:jc w:val="left"/>
        <w:rPr>
          <w:rFonts w:hint="eastAsia" w:ascii="仿宋" w:hAnsi="仿宋" w:eastAsia="仿宋" w:cs="仿宋"/>
          <w:b w:val="0"/>
          <w:bCs w:val="0"/>
          <w:color w:val="auto"/>
          <w:sz w:val="21"/>
          <w:szCs w:val="21"/>
        </w:rPr>
      </w:pPr>
      <w:r>
        <w:rPr>
          <w:rFonts w:hint="eastAsia" w:ascii="仿宋" w:hAnsi="仿宋" w:eastAsia="仿宋" w:cs="仿宋"/>
          <w:b w:val="0"/>
          <w:bCs w:val="0"/>
          <w:color w:val="auto"/>
          <w:kern w:val="0"/>
          <w:sz w:val="21"/>
          <w:szCs w:val="21"/>
          <w:lang w:val="en-US" w:eastAsia="zh-CN" w:bidi="ar"/>
        </w:rPr>
        <w:t>本项目通过模块化架构适配多样化需求，构建“一次开发、多域复用”的服务网络。</w:t>
      </w:r>
    </w:p>
    <w:p>
      <w:pPr>
        <w:keepNext w:val="0"/>
        <w:keepLines w:val="0"/>
        <w:widowControl w:val="0"/>
        <w:suppressLineNumbers w:val="0"/>
        <w:spacing w:before="120" w:beforeAutospacing="0" w:after="120" w:afterAutospacing="0" w:line="288" w:lineRule="auto"/>
        <w:ind w:left="0" w:leftChars="0" w:right="0" w:firstLine="0" w:firstLineChars="0"/>
        <w:jc w:val="left"/>
        <w:outlineLvl w:val="3"/>
        <w:rPr>
          <w:rFonts w:hint="eastAsia" w:ascii="仿宋" w:hAnsi="仿宋" w:eastAsia="仿宋" w:cs="仿宋"/>
          <w:b w:val="0"/>
          <w:bCs w:val="0"/>
          <w:color w:val="auto"/>
          <w:sz w:val="21"/>
          <w:szCs w:val="21"/>
        </w:rPr>
      </w:pPr>
      <w:r>
        <w:rPr>
          <w:rFonts w:hint="eastAsia" w:ascii="仿宋" w:hAnsi="仿宋" w:eastAsia="仿宋" w:cs="仿宋"/>
          <w:b w:val="0"/>
          <w:bCs w:val="0"/>
          <w:color w:val="auto"/>
          <w:kern w:val="0"/>
          <w:sz w:val="21"/>
          <w:szCs w:val="21"/>
          <w:lang w:val="en-US" w:eastAsia="zh-CN" w:bidi="ar"/>
        </w:rPr>
        <w:t>2.3.6.1.基层医疗普惠工具</w:t>
      </w:r>
      <w:r>
        <w:rPr>
          <w:rFonts w:hint="eastAsia" w:ascii="仿宋" w:hAnsi="仿宋" w:eastAsia="仿宋" w:cs="仿宋"/>
          <w:b w:val="0"/>
          <w:bCs w:val="0"/>
          <w:color w:val="auto"/>
          <w:kern w:val="0"/>
          <w:sz w:val="21"/>
          <w:szCs w:val="21"/>
          <w:lang w:val="en-US" w:eastAsia="zh-CN" w:bidi="ar"/>
        </w:rPr>
        <w:br w:type="textWrapping"/>
      </w:r>
      <w:r>
        <w:rPr>
          <w:rFonts w:hint="eastAsia" w:ascii="仿宋" w:hAnsi="仿宋" w:eastAsia="仿宋" w:cs="仿宋"/>
          <w:b w:val="0"/>
          <w:bCs w:val="0"/>
          <w:color w:val="auto"/>
          <w:kern w:val="0"/>
          <w:sz w:val="21"/>
          <w:szCs w:val="21"/>
          <w:lang w:val="en-US" w:eastAsia="zh-CN" w:bidi="ar"/>
        </w:rPr>
        <w:tab/>
        <w:t>系统轻量化边缘计算节点支持基层医院离线流调，响应时间&lt;500ms，硬件成本降低60%。例如，某县域医院通过语音交互功能，老年患者流调覆盖率从35%提升至78%。系统还可生成糖尿病、高血压等慢性病的AI随访方案，通过语音机器人每日采集患者数据，减少医护人员重复劳动。</w:t>
      </w:r>
    </w:p>
    <w:p>
      <w:pPr>
        <w:keepNext w:val="0"/>
        <w:keepLines w:val="0"/>
        <w:widowControl w:val="0"/>
        <w:suppressLineNumbers w:val="0"/>
        <w:spacing w:before="120" w:beforeAutospacing="0" w:after="120" w:afterAutospacing="0" w:line="288" w:lineRule="auto"/>
        <w:ind w:left="0" w:leftChars="0" w:right="0" w:firstLine="0" w:firstLineChars="0"/>
        <w:jc w:val="left"/>
        <w:outlineLvl w:val="3"/>
        <w:rPr>
          <w:rFonts w:hint="eastAsia" w:ascii="仿宋" w:hAnsi="仿宋" w:eastAsia="仿宋" w:cs="仿宋"/>
          <w:b w:val="0"/>
          <w:bCs w:val="0"/>
          <w:color w:val="auto"/>
          <w:sz w:val="21"/>
          <w:szCs w:val="21"/>
        </w:rPr>
      </w:pPr>
      <w:r>
        <w:rPr>
          <w:rFonts w:hint="eastAsia" w:ascii="仿宋" w:hAnsi="仿宋" w:eastAsia="仿宋" w:cs="仿宋"/>
          <w:b w:val="0"/>
          <w:bCs w:val="0"/>
          <w:color w:val="auto"/>
          <w:kern w:val="0"/>
          <w:sz w:val="21"/>
          <w:szCs w:val="21"/>
          <w:lang w:val="en-US" w:eastAsia="zh-CN" w:bidi="ar"/>
        </w:rPr>
        <w:t>2.3.6.2.灾害医学应急响应</w:t>
      </w:r>
      <w:r>
        <w:rPr>
          <w:rFonts w:hint="eastAsia" w:ascii="仿宋" w:hAnsi="仿宋" w:eastAsia="仿宋" w:cs="仿宋"/>
          <w:b w:val="0"/>
          <w:bCs w:val="0"/>
          <w:color w:val="auto"/>
          <w:kern w:val="0"/>
          <w:sz w:val="21"/>
          <w:szCs w:val="21"/>
          <w:lang w:val="en-US" w:eastAsia="zh-CN" w:bidi="ar"/>
        </w:rPr>
        <w:br w:type="textWrapping"/>
      </w:r>
      <w:r>
        <w:rPr>
          <w:rFonts w:hint="eastAsia" w:ascii="仿宋" w:hAnsi="仿宋" w:eastAsia="仿宋" w:cs="仿宋"/>
          <w:b w:val="0"/>
          <w:bCs w:val="0"/>
          <w:color w:val="auto"/>
          <w:kern w:val="0"/>
          <w:sz w:val="21"/>
          <w:szCs w:val="21"/>
          <w:lang w:val="en-US" w:eastAsia="zh-CN" w:bidi="ar"/>
        </w:rPr>
        <w:tab/>
        <w:t>系统集成地理信息系统（GIS）与伤员分级评估模型，灾后30分钟内生成救援优先级清单，智能规划救护车路径与物资投放方案。例如，在地震灾害中，系统通过实时定位伤员位置与伤情等级，自动分配急救资源，将黄金救援时间缩短40%，显著提升生存率。</w:t>
      </w:r>
    </w:p>
    <w:p>
      <w:pPr>
        <w:keepNext w:val="0"/>
        <w:keepLines w:val="0"/>
        <w:widowControl w:val="0"/>
        <w:suppressLineNumbers w:val="0"/>
        <w:spacing w:before="120" w:beforeAutospacing="0" w:after="120" w:afterAutospacing="0" w:line="288" w:lineRule="auto"/>
        <w:ind w:left="0" w:leftChars="0" w:right="0" w:firstLine="0" w:firstLineChars="0"/>
        <w:jc w:val="left"/>
        <w:outlineLvl w:val="3"/>
        <w:rPr>
          <w:rFonts w:hint="eastAsia" w:ascii="仿宋_GB2312" w:eastAsia="仿宋_GB2312" w:cs="仿宋_GB2312"/>
          <w:color w:val="auto"/>
          <w:sz w:val="21"/>
          <w:szCs w:val="21"/>
        </w:rPr>
      </w:pPr>
      <w:r>
        <w:rPr>
          <w:rFonts w:hint="eastAsia" w:ascii="仿宋" w:hAnsi="仿宋" w:eastAsia="仿宋" w:cs="仿宋"/>
          <w:b w:val="0"/>
          <w:bCs w:val="0"/>
          <w:color w:val="auto"/>
          <w:kern w:val="0"/>
          <w:sz w:val="21"/>
          <w:szCs w:val="21"/>
          <w:lang w:val="en-US" w:eastAsia="zh-CN" w:bidi="ar"/>
        </w:rPr>
        <w:t>2.3.6.3.跨境防疫合规支持</w:t>
      </w:r>
      <w:r>
        <w:rPr>
          <w:rFonts w:hint="eastAsia" w:ascii="仿宋" w:hAnsi="仿宋" w:eastAsia="仿宋" w:cs="仿宋"/>
          <w:b w:val="0"/>
          <w:bCs w:val="0"/>
          <w:color w:val="auto"/>
          <w:kern w:val="0"/>
          <w:sz w:val="21"/>
          <w:szCs w:val="21"/>
          <w:lang w:val="en-US" w:eastAsia="zh-CN" w:bidi="ar"/>
        </w:rPr>
        <w:br w:type="textWrapping"/>
      </w:r>
      <w:r>
        <w:rPr>
          <w:rFonts w:hint="eastAsia" w:ascii="仿宋" w:hAnsi="仿宋" w:eastAsia="仿宋" w:cs="仿宋"/>
          <w:b w:val="0"/>
          <w:bCs w:val="0"/>
          <w:color w:val="auto"/>
          <w:kern w:val="0"/>
          <w:sz w:val="21"/>
          <w:szCs w:val="21"/>
          <w:lang w:val="en-US" w:eastAsia="zh-CN" w:bidi="ar"/>
        </w:rPr>
        <w:tab/>
        <w:t>系统对接海关出入境数据，自动生成多语言健康申报表与国际旅行风险提示。例如，用户计划前往登革热高发地区时，系统推送疫苗接种建议与防护指南，并关联目的地疫情数据，实时更</w:t>
      </w:r>
      <w:r>
        <w:rPr>
          <w:rFonts w:hint="eastAsia" w:ascii="仿宋_GB2312" w:hAnsi="Times New Roman" w:eastAsia="仿宋_GB2312" w:cs="仿宋_GB2312"/>
          <w:color w:val="auto"/>
          <w:kern w:val="0"/>
          <w:sz w:val="21"/>
          <w:szCs w:val="21"/>
          <w:lang w:val="en-US" w:eastAsia="zh-CN" w:bidi="ar"/>
        </w:rPr>
        <w:t>新风险等级。</w:t>
      </w:r>
    </w:p>
    <w:p>
      <w:pPr>
        <w:pStyle w:val="4"/>
        <w:numPr>
          <w:numId w:val="0"/>
        </w:numPr>
        <w:bidi w:val="0"/>
        <w:ind w:leftChars="0"/>
        <w:outlineLvl w:val="2"/>
        <w:rPr>
          <w:rFonts w:hint="eastAsia" w:ascii="仿宋" w:hAnsi="仿宋" w:eastAsia="仿宋" w:cs="仿宋"/>
          <w:b w:val="0"/>
          <w:bCs w:val="0"/>
          <w:sz w:val="21"/>
          <w:szCs w:val="21"/>
        </w:rPr>
      </w:pPr>
      <w:r>
        <w:rPr>
          <w:rFonts w:hint="eastAsia" w:ascii="仿宋" w:hAnsi="仿宋" w:eastAsia="仿宋" w:cs="仿宋"/>
          <w:b w:val="0"/>
          <w:bCs w:val="0"/>
          <w:sz w:val="21"/>
          <w:szCs w:val="21"/>
          <w:lang w:val="en-US" w:eastAsia="zh-CN"/>
        </w:rPr>
        <w:t>2.3.7.隐私安全与信任体系构建</w:t>
      </w:r>
    </w:p>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cs="仿宋_GB2312"/>
          <w:color w:val="auto"/>
          <w:kern w:val="0"/>
          <w:sz w:val="21"/>
          <w:szCs w:val="21"/>
          <w:lang w:val="en-US" w:eastAsia="zh-CN" w:bidi="ar"/>
        </w:rPr>
        <w:t>本项目</w:t>
      </w:r>
      <w:r>
        <w:rPr>
          <w:rFonts w:hint="eastAsia" w:ascii="仿宋_GB2312" w:hAnsi="Times New Roman" w:eastAsia="仿宋_GB2312" w:cs="仿宋_GB2312"/>
          <w:color w:val="auto"/>
          <w:kern w:val="0"/>
          <w:sz w:val="21"/>
          <w:szCs w:val="21"/>
          <w:lang w:val="en-US" w:eastAsia="zh-CN" w:bidi="ar"/>
        </w:rPr>
        <w:t>以技术手段重塑数据安全边界，提升公众配合度与数据公信力。</w:t>
      </w:r>
    </w:p>
    <w:p>
      <w:pPr>
        <w:keepNext w:val="0"/>
        <w:keepLines w:val="0"/>
        <w:widowControl w:val="0"/>
        <w:suppressLineNumbers w:val="0"/>
        <w:spacing w:before="120" w:beforeAutospacing="0" w:after="120" w:afterAutospacing="0" w:line="288" w:lineRule="auto"/>
        <w:ind w:left="0" w:leftChars="0" w:right="0" w:firstLine="0" w:firstLineChars="0"/>
        <w:jc w:val="left"/>
        <w:outlineLvl w:val="3"/>
        <w:rPr>
          <w:rFonts w:hint="eastAsia" w:ascii="仿宋_GB2312" w:eastAsia="仿宋_GB2312" w:cs="仿宋_GB2312"/>
          <w:color w:val="auto"/>
          <w:sz w:val="21"/>
          <w:szCs w:val="21"/>
        </w:rPr>
      </w:pPr>
      <w:r>
        <w:rPr>
          <w:rFonts w:hint="eastAsia" w:ascii="仿宋_GB2312" w:hAnsi="Times New Roman" w:cs="仿宋_GB2312"/>
          <w:b w:val="0"/>
          <w:bCs/>
          <w:color w:val="auto"/>
          <w:kern w:val="0"/>
          <w:sz w:val="21"/>
          <w:szCs w:val="21"/>
          <w:lang w:val="en-US" w:eastAsia="zh-CN" w:bidi="ar"/>
        </w:rPr>
        <w:t>2.3.7.1.</w:t>
      </w:r>
      <w:r>
        <w:rPr>
          <w:rFonts w:hint="eastAsia" w:ascii="仿宋_GB2312" w:hAnsi="Times New Roman" w:eastAsia="仿宋_GB2312" w:cs="仿宋_GB2312"/>
          <w:b w:val="0"/>
          <w:bCs/>
          <w:color w:val="auto"/>
          <w:kern w:val="0"/>
          <w:sz w:val="21"/>
          <w:szCs w:val="21"/>
          <w:lang w:val="en-US" w:eastAsia="zh-CN" w:bidi="ar"/>
        </w:rPr>
        <w:t>全链路加密与权限隔离</w:t>
      </w:r>
      <w:r>
        <w:rPr>
          <w:rFonts w:hint="eastAsia" w:ascii="仿宋_GB2312" w:hAnsi="Times New Roman" w:eastAsia="仿宋_GB2312" w:cs="仿宋_GB2312"/>
          <w:color w:val="auto"/>
          <w:kern w:val="0"/>
          <w:sz w:val="21"/>
          <w:szCs w:val="21"/>
          <w:lang w:val="en-US" w:eastAsia="zh-CN" w:bidi="ar"/>
        </w:rPr>
        <w:br w:type="textWrapping"/>
      </w:r>
      <w:r>
        <w:rPr>
          <w:rFonts w:hint="eastAsia" w:ascii="仿宋_GB2312" w:hAnsi="Times New Roman" w:eastAsia="仿宋_GB2312" w:cs="仿宋_GB2312"/>
          <w:color w:val="auto"/>
          <w:kern w:val="0"/>
          <w:sz w:val="21"/>
          <w:szCs w:val="21"/>
          <w:lang w:val="en-US" w:eastAsia="zh-CN" w:bidi="ar"/>
        </w:rPr>
        <w:t>敏感信息（如住址、身份证号）采用动态掩码与区块链分片存储，疾控中心可全局分析脱敏数据，社区人员仅限查看辖区行程轨迹，实现“最小必要”原则。例如，患者住址“上海市浦东新区XX路”被加密分割存储于多个节点，即使单一节点被攻破也无法还原完整信息。</w:t>
      </w:r>
    </w:p>
    <w:p>
      <w:pPr>
        <w:keepNext w:val="0"/>
        <w:keepLines w:val="0"/>
        <w:widowControl w:val="0"/>
        <w:suppressLineNumbers w:val="0"/>
        <w:spacing w:before="120" w:beforeAutospacing="0" w:after="120" w:afterAutospacing="0" w:line="288" w:lineRule="auto"/>
        <w:ind w:left="0" w:leftChars="0" w:right="0" w:firstLine="0" w:firstLineChars="0"/>
        <w:jc w:val="left"/>
        <w:outlineLvl w:val="3"/>
        <w:rPr>
          <w:rFonts w:hint="eastAsia" w:ascii="仿宋_GB2312" w:eastAsia="仿宋_GB2312" w:cs="仿宋_GB2312"/>
          <w:color w:val="auto"/>
          <w:sz w:val="21"/>
          <w:szCs w:val="21"/>
        </w:rPr>
      </w:pPr>
      <w:r>
        <w:rPr>
          <w:rFonts w:hint="eastAsia" w:ascii="仿宋_GB2312" w:hAnsi="Times New Roman" w:cs="仿宋_GB2312"/>
          <w:b w:val="0"/>
          <w:bCs/>
          <w:color w:val="auto"/>
          <w:kern w:val="0"/>
          <w:sz w:val="21"/>
          <w:szCs w:val="21"/>
          <w:lang w:val="en-US" w:eastAsia="zh-CN" w:bidi="ar"/>
        </w:rPr>
        <w:t>2.3.7.2.</w:t>
      </w:r>
      <w:r>
        <w:rPr>
          <w:rFonts w:hint="eastAsia" w:ascii="仿宋_GB2312" w:hAnsi="Times New Roman" w:eastAsia="仿宋_GB2312" w:cs="仿宋_GB2312"/>
          <w:b w:val="0"/>
          <w:bCs/>
          <w:color w:val="auto"/>
          <w:kern w:val="0"/>
          <w:sz w:val="21"/>
          <w:szCs w:val="21"/>
          <w:lang w:val="en-US" w:eastAsia="zh-CN" w:bidi="ar"/>
        </w:rPr>
        <w:t>用户端透明化控制</w:t>
      </w:r>
      <w:r>
        <w:rPr>
          <w:rFonts w:hint="eastAsia" w:ascii="仿宋_GB2312" w:hAnsi="Times New Roman" w:eastAsia="仿宋_GB2312" w:cs="仿宋_GB2312"/>
          <w:color w:val="auto"/>
          <w:kern w:val="0"/>
          <w:sz w:val="21"/>
          <w:szCs w:val="21"/>
          <w:lang w:val="en-US" w:eastAsia="zh-CN" w:bidi="ar"/>
        </w:rPr>
        <w:br w:type="textWrapping"/>
      </w:r>
      <w:r>
        <w:rPr>
          <w:rFonts w:hint="eastAsia" w:ascii="仿宋_GB2312" w:hAnsi="Times New Roman" w:eastAsia="仿宋_GB2312" w:cs="仿宋_GB2312"/>
          <w:color w:val="auto"/>
          <w:kern w:val="0"/>
          <w:sz w:val="21"/>
          <w:szCs w:val="21"/>
          <w:lang w:val="en-US" w:eastAsia="zh-CN" w:bidi="ar"/>
        </w:rPr>
        <w:t>公众实时查看数据脱敏状态（如“XX区XX路”），并通过区块链浏览器追溯调阅记录。例如，用户可查询“某疾控中心于8月10日调阅我的场所码数据”，确保数据使用权的知情与可控。</w:t>
      </w:r>
    </w:p>
    <w:p>
      <w:pPr>
        <w:keepNext w:val="0"/>
        <w:keepLines w:val="0"/>
        <w:widowControl w:val="0"/>
        <w:suppressLineNumbers w:val="0"/>
        <w:spacing w:before="120" w:beforeAutospacing="0" w:after="120" w:afterAutospacing="0" w:line="288" w:lineRule="auto"/>
        <w:ind w:left="0" w:leftChars="0" w:right="0" w:firstLine="0" w:firstLineChars="0"/>
        <w:jc w:val="left"/>
        <w:outlineLvl w:val="3"/>
        <w:rPr>
          <w:rFonts w:hint="eastAsia" w:ascii="仿宋_GB2312" w:eastAsia="仿宋_GB2312" w:cs="仿宋_GB2312"/>
          <w:color w:val="auto"/>
          <w:sz w:val="21"/>
          <w:szCs w:val="21"/>
        </w:rPr>
      </w:pPr>
      <w:r>
        <w:rPr>
          <w:rFonts w:hint="eastAsia" w:ascii="仿宋" w:hAnsi="仿宋" w:eastAsia="仿宋" w:cs="仿宋"/>
          <w:b w:val="0"/>
          <w:bCs/>
          <w:color w:val="auto"/>
          <w:kern w:val="0"/>
          <w:sz w:val="21"/>
          <w:szCs w:val="21"/>
          <w:lang w:val="en-US" w:eastAsia="zh-CN" w:bidi="ar"/>
        </w:rPr>
        <w:t>2.3.7.3.合规审计与应急擦除</w:t>
      </w:r>
      <w:r>
        <w:rPr>
          <w:rFonts w:hint="eastAsia" w:ascii="仿宋" w:hAnsi="仿宋" w:eastAsia="仿宋" w:cs="仿宋"/>
          <w:b w:val="0"/>
          <w:bCs/>
          <w:color w:val="auto"/>
          <w:kern w:val="0"/>
          <w:sz w:val="21"/>
          <w:szCs w:val="21"/>
          <w:lang w:val="en-US" w:eastAsia="zh-CN" w:bidi="ar"/>
        </w:rPr>
        <w:br w:type="textWrapping"/>
      </w:r>
      <w:r>
        <w:rPr>
          <w:rFonts w:hint="eastAsia" w:ascii="仿宋_GB2312" w:hAnsi="Times New Roman" w:eastAsia="仿宋_GB2312" w:cs="仿宋_GB2312"/>
          <w:color w:val="auto"/>
          <w:kern w:val="0"/>
          <w:sz w:val="21"/>
          <w:szCs w:val="21"/>
          <w:lang w:val="en-US" w:eastAsia="zh-CN" w:bidi="ar"/>
        </w:rPr>
        <w:t>数据留存周期结束后自动触发物理级擦除，残留信息不可复原。例如，用户授权数据在保留180天后自动销毁，彻底杜绝二次泄露风险。</w:t>
      </w:r>
    </w:p>
    <w:p>
      <w:pPr>
        <w:pStyle w:val="4"/>
        <w:numPr>
          <w:numId w:val="0"/>
        </w:numPr>
        <w:bidi w:val="0"/>
        <w:ind w:leftChars="0"/>
        <w:outlineLvl w:val="2"/>
        <w:rPr>
          <w:rFonts w:hint="eastAsia" w:ascii="仿宋" w:hAnsi="仿宋" w:eastAsia="仿宋" w:cs="仿宋"/>
          <w:sz w:val="21"/>
          <w:szCs w:val="21"/>
        </w:rPr>
      </w:pPr>
      <w:r>
        <w:rPr>
          <w:rFonts w:hint="eastAsia" w:ascii="仿宋" w:hAnsi="仿宋" w:eastAsia="仿宋" w:cs="仿宋"/>
          <w:sz w:val="21"/>
          <w:szCs w:val="21"/>
          <w:lang w:val="en-US" w:eastAsia="zh-CN"/>
        </w:rPr>
        <w:t>2.3.8.功能差异化价值</w:t>
      </w:r>
    </w:p>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与传统流调工具相比，本项目通过以下优势构建竞争壁垒：</w:t>
      </w:r>
    </w:p>
    <w:p>
      <w:pPr>
        <w:keepNext w:val="0"/>
        <w:keepLines w:val="0"/>
        <w:widowControl w:val="0"/>
        <w:numPr>
          <w:ilvl w:val="0"/>
          <w:numId w:val="10"/>
        </w:numPr>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效率跃迁</w:t>
      </w:r>
      <w:r>
        <w:rPr>
          <w:rFonts w:hint="eastAsia" w:ascii="仿宋_GB2312" w:hAnsi="Times New Roman" w:eastAsia="仿宋_GB2312" w:cs="仿宋_GB2312"/>
          <w:color w:val="auto"/>
          <w:kern w:val="0"/>
          <w:sz w:val="21"/>
          <w:szCs w:val="21"/>
          <w:lang w:val="en-US" w:eastAsia="zh-CN" w:bidi="ar"/>
        </w:rPr>
        <w:t>：动态场景引擎使大规模流调任务耗时从“天级”压缩至“小时级”；</w:t>
      </w:r>
    </w:p>
    <w:p>
      <w:pPr>
        <w:keepNext w:val="0"/>
        <w:keepLines w:val="0"/>
        <w:widowControl w:val="0"/>
        <w:numPr>
          <w:ilvl w:val="0"/>
          <w:numId w:val="11"/>
        </w:numPr>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场景贯通</w:t>
      </w:r>
      <w:r>
        <w:rPr>
          <w:rFonts w:hint="eastAsia" w:ascii="仿宋_GB2312" w:hAnsi="Times New Roman" w:eastAsia="仿宋_GB2312" w:cs="仿宋_GB2312"/>
          <w:color w:val="auto"/>
          <w:kern w:val="0"/>
          <w:sz w:val="21"/>
          <w:szCs w:val="21"/>
          <w:lang w:val="en-US" w:eastAsia="zh-CN" w:bidi="ar"/>
        </w:rPr>
        <w:t>：从发热门诊到慢性病管理，实现“防控-服务-决策”全链条覆盖；</w:t>
      </w:r>
    </w:p>
    <w:p>
      <w:pPr>
        <w:keepNext w:val="0"/>
        <w:keepLines w:val="0"/>
        <w:widowControl w:val="0"/>
        <w:numPr>
          <w:ilvl w:val="0"/>
          <w:numId w:val="12"/>
        </w:numPr>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生态协同</w:t>
      </w:r>
      <w:r>
        <w:rPr>
          <w:rFonts w:hint="eastAsia" w:ascii="仿宋_GB2312" w:hAnsi="Times New Roman" w:eastAsia="仿宋_GB2312" w:cs="仿宋_GB2312"/>
          <w:color w:val="auto"/>
          <w:kern w:val="0"/>
          <w:sz w:val="21"/>
          <w:szCs w:val="21"/>
          <w:lang w:val="en-US" w:eastAsia="zh-CN" w:bidi="ar"/>
        </w:rPr>
        <w:t>：开放API接口与药企、保险公司共建数据增值网络，拓展商业化边界。</w:t>
      </w:r>
    </w:p>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通过上述功能体系，</w:t>
      </w:r>
      <w:r>
        <w:rPr>
          <w:rFonts w:hint="eastAsia" w:ascii="仿宋" w:hAnsi="仿宋" w:eastAsia="仿宋" w:cs="仿宋"/>
          <w:color w:val="auto"/>
          <w:kern w:val="0"/>
          <w:sz w:val="21"/>
          <w:szCs w:val="21"/>
          <w:lang w:val="en-US" w:eastAsia="zh-CN" w:bidi="ar"/>
        </w:rPr>
        <w:t>HEALINK</w:t>
      </w:r>
      <w:r>
        <w:rPr>
          <w:rFonts w:hint="eastAsia" w:ascii="仿宋_GB2312" w:hAnsi="Times New Roman" w:eastAsia="仿宋_GB2312" w:cs="仿宋_GB2312"/>
          <w:color w:val="auto"/>
          <w:kern w:val="0"/>
          <w:sz w:val="21"/>
          <w:szCs w:val="21"/>
          <w:lang w:val="en-US" w:eastAsia="zh-CN" w:bidi="ar"/>
        </w:rPr>
        <w:t>项目不仅成为传染病防控的核心工具，更推动公共卫生体系向“精准化、智能化、人性化”全面升级。</w:t>
      </w:r>
    </w:p>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功能差异化优势</w:t>
      </w:r>
    </w:p>
    <w:tbl>
      <w:tblPr>
        <w:tblStyle w:val="20"/>
        <w:tblW w:w="0" w:type="auto"/>
        <w:jc w:val="center"/>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shd w:val="clear" w:color="auto" w:fill="auto"/>
        <w:tblLayout w:type="fixed"/>
        <w:tblCellMar>
          <w:top w:w="0" w:type="dxa"/>
          <w:left w:w="10" w:type="dxa"/>
          <w:bottom w:w="0" w:type="dxa"/>
          <w:right w:w="10" w:type="dxa"/>
        </w:tblCellMar>
      </w:tblPr>
      <w:tblGrid>
        <w:gridCol w:w="2760"/>
        <w:gridCol w:w="2760"/>
        <w:gridCol w:w="2760"/>
      </w:tblGrid>
      <w:tr>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shd w:val="clear" w:color="auto" w:fill="auto"/>
          <w:tblCellMar>
            <w:top w:w="0" w:type="dxa"/>
            <w:left w:w="10" w:type="dxa"/>
            <w:bottom w:w="0" w:type="dxa"/>
            <w:right w:w="10" w:type="dxa"/>
          </w:tblCellMar>
        </w:tblPrEx>
        <w:trPr>
          <w:jc w:val="center"/>
        </w:trPr>
        <w:tc>
          <w:tcPr>
            <w:tcW w:w="2760" w:type="dxa"/>
            <w:tcBorders>
              <w:top w:val="single" w:color="DEE0E3" w:sz="2" w:space="0"/>
              <w:left w:val="single" w:color="DEE0E3" w:sz="2" w:space="0"/>
              <w:bottom w:val="single" w:color="DEE0E3" w:sz="2" w:space="0"/>
              <w:right w:val="single" w:color="DEE0E3" w:sz="2" w:space="0"/>
            </w:tcBorders>
            <w:shd w:val="clear" w:color="auto" w:fill="auto"/>
            <w:tcMar>
              <w:top w:w="60" w:type="dxa"/>
              <w:left w:w="120" w:type="dxa"/>
              <w:bottom w:w="30" w:type="dxa"/>
              <w:right w:w="120" w:type="dxa"/>
            </w:tcMar>
            <w:vAlign w:val="top"/>
          </w:tcPr>
          <w:p>
            <w:pPr>
              <w:keepNext w:val="0"/>
              <w:keepLines w:val="0"/>
              <w:widowControl w:val="0"/>
              <w:suppressLineNumbers w:val="0"/>
              <w:spacing w:before="120" w:beforeAutospacing="0" w:after="120" w:afterAutospacing="0" w:line="288" w:lineRule="auto"/>
              <w:ind w:left="0" w:right="0"/>
              <w:jc w:val="center"/>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维度</w:t>
            </w:r>
          </w:p>
        </w:tc>
        <w:tc>
          <w:tcPr>
            <w:tcW w:w="2760" w:type="dxa"/>
            <w:tcBorders>
              <w:top w:val="single" w:color="DEE0E3" w:sz="2" w:space="0"/>
              <w:left w:val="single" w:color="DEE0E3" w:sz="2" w:space="0"/>
              <w:bottom w:val="single" w:color="DEE0E3" w:sz="2" w:space="0"/>
              <w:right w:val="single" w:color="DEE0E3" w:sz="2" w:space="0"/>
            </w:tcBorders>
            <w:shd w:val="clear" w:color="auto" w:fill="auto"/>
            <w:tcMar>
              <w:top w:w="60" w:type="dxa"/>
              <w:left w:w="120" w:type="dxa"/>
              <w:bottom w:w="30" w:type="dxa"/>
              <w:right w:w="120" w:type="dxa"/>
            </w:tcMar>
            <w:vAlign w:val="top"/>
          </w:tcPr>
          <w:p>
            <w:pPr>
              <w:keepNext w:val="0"/>
              <w:keepLines w:val="0"/>
              <w:widowControl w:val="0"/>
              <w:suppressLineNumbers w:val="0"/>
              <w:spacing w:before="120" w:beforeAutospacing="0" w:after="120" w:afterAutospacing="0" w:line="288" w:lineRule="auto"/>
              <w:ind w:left="0" w:right="0"/>
              <w:jc w:val="center"/>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传统流调系统</w:t>
            </w:r>
          </w:p>
        </w:tc>
        <w:tc>
          <w:tcPr>
            <w:tcW w:w="2760" w:type="dxa"/>
            <w:tcBorders>
              <w:top w:val="single" w:color="DEE0E3" w:sz="2" w:space="0"/>
              <w:left w:val="single" w:color="DEE0E3" w:sz="2" w:space="0"/>
              <w:bottom w:val="single" w:color="DEE0E3" w:sz="2" w:space="0"/>
              <w:right w:val="single" w:color="DEE0E3" w:sz="2" w:space="0"/>
            </w:tcBorders>
            <w:shd w:val="clear" w:color="auto" w:fill="auto"/>
            <w:tcMar>
              <w:top w:w="60" w:type="dxa"/>
              <w:left w:w="120" w:type="dxa"/>
              <w:bottom w:w="30" w:type="dxa"/>
              <w:right w:w="120" w:type="dxa"/>
            </w:tcMar>
            <w:vAlign w:val="top"/>
          </w:tcPr>
          <w:p>
            <w:pPr>
              <w:keepNext w:val="0"/>
              <w:keepLines w:val="0"/>
              <w:widowControl w:val="0"/>
              <w:suppressLineNumbers w:val="0"/>
              <w:spacing w:before="120" w:beforeAutospacing="0" w:after="120" w:afterAutospacing="0" w:line="288" w:lineRule="auto"/>
              <w:ind w:left="0" w:right="0"/>
              <w:jc w:val="center"/>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本系统</w:t>
            </w:r>
          </w:p>
        </w:tc>
      </w:tr>
      <w:tr>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rPr>
          <w:jc w:val="center"/>
        </w:trPr>
        <w:tc>
          <w:tcPr>
            <w:tcW w:w="2760" w:type="dxa"/>
            <w:tcBorders>
              <w:top w:val="single" w:color="DEE0E3" w:sz="2" w:space="0"/>
              <w:left w:val="single" w:color="DEE0E3" w:sz="2" w:space="0"/>
              <w:bottom w:val="single" w:color="DEE0E3" w:sz="2" w:space="0"/>
              <w:right w:val="single" w:color="DEE0E3" w:sz="2" w:space="0"/>
            </w:tcBorders>
            <w:shd w:val="clear" w:color="auto" w:fill="auto"/>
            <w:tcMar>
              <w:top w:w="60" w:type="dxa"/>
              <w:left w:w="120" w:type="dxa"/>
              <w:bottom w:w="30" w:type="dxa"/>
              <w:right w:w="120" w:type="dxa"/>
            </w:tcMar>
            <w:vAlign w:val="top"/>
          </w:tcPr>
          <w:p>
            <w:pPr>
              <w:keepNext w:val="0"/>
              <w:keepLines w:val="0"/>
              <w:widowControl w:val="0"/>
              <w:suppressLineNumbers w:val="0"/>
              <w:spacing w:before="120" w:beforeAutospacing="0" w:after="120" w:afterAutospacing="0" w:line="288" w:lineRule="auto"/>
              <w:ind w:left="0" w:right="0"/>
              <w:jc w:val="center"/>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数据采集效率</w:t>
            </w:r>
          </w:p>
        </w:tc>
        <w:tc>
          <w:tcPr>
            <w:tcW w:w="2760" w:type="dxa"/>
            <w:tcBorders>
              <w:top w:val="single" w:color="DEE0E3" w:sz="2" w:space="0"/>
              <w:left w:val="single" w:color="DEE0E3" w:sz="2" w:space="0"/>
              <w:bottom w:val="single" w:color="DEE0E3" w:sz="2" w:space="0"/>
              <w:right w:val="single" w:color="DEE0E3" w:sz="2" w:space="0"/>
            </w:tcBorders>
            <w:shd w:val="clear" w:color="auto" w:fill="auto"/>
            <w:tcMar>
              <w:top w:w="60" w:type="dxa"/>
              <w:left w:w="120" w:type="dxa"/>
              <w:bottom w:w="30" w:type="dxa"/>
              <w:right w:w="120" w:type="dxa"/>
            </w:tcMar>
            <w:vAlign w:val="top"/>
          </w:tcPr>
          <w:p>
            <w:pPr>
              <w:keepNext w:val="0"/>
              <w:keepLines w:val="0"/>
              <w:widowControl w:val="0"/>
              <w:suppressLineNumbers w:val="0"/>
              <w:spacing w:before="120" w:beforeAutospacing="0" w:after="120" w:afterAutospacing="0" w:line="288" w:lineRule="auto"/>
              <w:ind w:left="0" w:right="0"/>
              <w:jc w:val="center"/>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人工录入，平均20分钟/例</w:t>
            </w:r>
          </w:p>
        </w:tc>
        <w:tc>
          <w:tcPr>
            <w:tcW w:w="2760" w:type="dxa"/>
            <w:tcBorders>
              <w:top w:val="single" w:color="DEE0E3" w:sz="2" w:space="0"/>
              <w:left w:val="single" w:color="DEE0E3" w:sz="2" w:space="0"/>
              <w:bottom w:val="single" w:color="DEE0E3" w:sz="2" w:space="0"/>
              <w:right w:val="single" w:color="DEE0E3" w:sz="2" w:space="0"/>
            </w:tcBorders>
            <w:shd w:val="clear" w:color="auto" w:fill="auto"/>
            <w:tcMar>
              <w:top w:w="60" w:type="dxa"/>
              <w:left w:w="120" w:type="dxa"/>
              <w:bottom w:w="30" w:type="dxa"/>
              <w:right w:w="120" w:type="dxa"/>
            </w:tcMar>
            <w:vAlign w:val="top"/>
          </w:tcPr>
          <w:p>
            <w:pPr>
              <w:keepNext w:val="0"/>
              <w:keepLines w:val="0"/>
              <w:widowControl w:val="0"/>
              <w:suppressLineNumbers w:val="0"/>
              <w:spacing w:before="120" w:beforeAutospacing="0" w:after="120" w:afterAutospacing="0" w:line="288" w:lineRule="auto"/>
              <w:ind w:left="0" w:right="0"/>
              <w:jc w:val="center"/>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智能交互，3分钟/例，效率提升85%</w:t>
            </w:r>
          </w:p>
        </w:tc>
      </w:tr>
      <w:tr>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rPr>
          <w:jc w:val="center"/>
        </w:trPr>
        <w:tc>
          <w:tcPr>
            <w:tcW w:w="2760" w:type="dxa"/>
            <w:tcBorders>
              <w:top w:val="single" w:color="DEE0E3" w:sz="2" w:space="0"/>
              <w:left w:val="single" w:color="DEE0E3" w:sz="2" w:space="0"/>
              <w:bottom w:val="single" w:color="DEE0E3" w:sz="2" w:space="0"/>
              <w:right w:val="single" w:color="DEE0E3" w:sz="2" w:space="0"/>
            </w:tcBorders>
            <w:shd w:val="clear" w:color="auto" w:fill="auto"/>
            <w:tcMar>
              <w:top w:w="60" w:type="dxa"/>
              <w:left w:w="120" w:type="dxa"/>
              <w:bottom w:w="30" w:type="dxa"/>
              <w:right w:w="120" w:type="dxa"/>
            </w:tcMar>
            <w:vAlign w:val="top"/>
          </w:tcPr>
          <w:p>
            <w:pPr>
              <w:keepNext w:val="0"/>
              <w:keepLines w:val="0"/>
              <w:widowControl w:val="0"/>
              <w:suppressLineNumbers w:val="0"/>
              <w:spacing w:before="120" w:beforeAutospacing="0" w:after="120" w:afterAutospacing="0" w:line="288" w:lineRule="auto"/>
              <w:ind w:left="0" w:right="0"/>
              <w:jc w:val="center"/>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防控响应速度</w:t>
            </w:r>
          </w:p>
        </w:tc>
        <w:tc>
          <w:tcPr>
            <w:tcW w:w="2760" w:type="dxa"/>
            <w:tcBorders>
              <w:top w:val="single" w:color="DEE0E3" w:sz="2" w:space="0"/>
              <w:left w:val="single" w:color="DEE0E3" w:sz="2" w:space="0"/>
              <w:bottom w:val="single" w:color="DEE0E3" w:sz="2" w:space="0"/>
              <w:right w:val="single" w:color="DEE0E3" w:sz="2" w:space="0"/>
            </w:tcBorders>
            <w:shd w:val="clear" w:color="auto" w:fill="auto"/>
            <w:tcMar>
              <w:top w:w="60" w:type="dxa"/>
              <w:left w:w="120" w:type="dxa"/>
              <w:bottom w:w="30" w:type="dxa"/>
              <w:right w:w="120" w:type="dxa"/>
            </w:tcMar>
            <w:vAlign w:val="top"/>
          </w:tcPr>
          <w:p>
            <w:pPr>
              <w:keepNext w:val="0"/>
              <w:keepLines w:val="0"/>
              <w:widowControl w:val="0"/>
              <w:suppressLineNumbers w:val="0"/>
              <w:spacing w:before="120" w:beforeAutospacing="0" w:after="120" w:afterAutospacing="0" w:line="288" w:lineRule="auto"/>
              <w:ind w:left="0" w:right="0"/>
              <w:jc w:val="center"/>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依赖人工统计，滞后1-3天</w:t>
            </w:r>
          </w:p>
        </w:tc>
        <w:tc>
          <w:tcPr>
            <w:tcW w:w="2760" w:type="dxa"/>
            <w:tcBorders>
              <w:top w:val="single" w:color="DEE0E3" w:sz="2" w:space="0"/>
              <w:left w:val="single" w:color="DEE0E3" w:sz="2" w:space="0"/>
              <w:bottom w:val="single" w:color="DEE0E3" w:sz="2" w:space="0"/>
              <w:right w:val="single" w:color="DEE0E3" w:sz="2" w:space="0"/>
            </w:tcBorders>
            <w:shd w:val="clear" w:color="auto" w:fill="auto"/>
            <w:tcMar>
              <w:top w:w="60" w:type="dxa"/>
              <w:left w:w="120" w:type="dxa"/>
              <w:bottom w:w="30" w:type="dxa"/>
              <w:right w:w="120" w:type="dxa"/>
            </w:tcMar>
            <w:vAlign w:val="top"/>
          </w:tcPr>
          <w:p>
            <w:pPr>
              <w:keepNext w:val="0"/>
              <w:keepLines w:val="0"/>
              <w:widowControl w:val="0"/>
              <w:suppressLineNumbers w:val="0"/>
              <w:spacing w:before="120" w:beforeAutospacing="0" w:after="120" w:afterAutospacing="0" w:line="288" w:lineRule="auto"/>
              <w:ind w:left="0" w:right="0"/>
              <w:jc w:val="center"/>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实时热力图预警，响应延迟&lt;1小时</w:t>
            </w:r>
          </w:p>
        </w:tc>
      </w:tr>
      <w:tr>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rPr>
          <w:jc w:val="center"/>
        </w:trPr>
        <w:tc>
          <w:tcPr>
            <w:tcW w:w="2760" w:type="dxa"/>
            <w:tcBorders>
              <w:top w:val="single" w:color="DEE0E3" w:sz="2" w:space="0"/>
              <w:left w:val="single" w:color="DEE0E3" w:sz="2" w:space="0"/>
              <w:bottom w:val="single" w:color="DEE0E3" w:sz="2" w:space="0"/>
              <w:right w:val="single" w:color="DEE0E3" w:sz="2" w:space="0"/>
            </w:tcBorders>
            <w:shd w:val="clear" w:color="auto" w:fill="auto"/>
            <w:tcMar>
              <w:top w:w="60" w:type="dxa"/>
              <w:left w:w="120" w:type="dxa"/>
              <w:bottom w:w="30" w:type="dxa"/>
              <w:right w:w="120" w:type="dxa"/>
            </w:tcMar>
            <w:vAlign w:val="top"/>
          </w:tcPr>
          <w:p>
            <w:pPr>
              <w:keepNext w:val="0"/>
              <w:keepLines w:val="0"/>
              <w:widowControl w:val="0"/>
              <w:suppressLineNumbers w:val="0"/>
              <w:spacing w:before="120" w:beforeAutospacing="0" w:after="120" w:afterAutospacing="0" w:line="288" w:lineRule="auto"/>
              <w:ind w:left="0" w:right="0"/>
              <w:jc w:val="center"/>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商业扩展性</w:t>
            </w:r>
          </w:p>
        </w:tc>
        <w:tc>
          <w:tcPr>
            <w:tcW w:w="2760" w:type="dxa"/>
            <w:tcBorders>
              <w:top w:val="single" w:color="DEE0E3" w:sz="2" w:space="0"/>
              <w:left w:val="single" w:color="DEE0E3" w:sz="2" w:space="0"/>
              <w:bottom w:val="single" w:color="DEE0E3" w:sz="2" w:space="0"/>
              <w:right w:val="single" w:color="DEE0E3" w:sz="2" w:space="0"/>
            </w:tcBorders>
            <w:shd w:val="clear" w:color="auto" w:fill="auto"/>
            <w:tcMar>
              <w:top w:w="60" w:type="dxa"/>
              <w:left w:w="120" w:type="dxa"/>
              <w:bottom w:w="30" w:type="dxa"/>
              <w:right w:w="120" w:type="dxa"/>
            </w:tcMar>
            <w:vAlign w:val="top"/>
          </w:tcPr>
          <w:p>
            <w:pPr>
              <w:keepNext w:val="0"/>
              <w:keepLines w:val="0"/>
              <w:widowControl w:val="0"/>
              <w:suppressLineNumbers w:val="0"/>
              <w:spacing w:before="120" w:beforeAutospacing="0" w:after="120" w:afterAutospacing="0" w:line="288" w:lineRule="auto"/>
              <w:ind w:left="0" w:right="0"/>
              <w:jc w:val="center"/>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单一政府采购模式</w:t>
            </w:r>
          </w:p>
        </w:tc>
        <w:tc>
          <w:tcPr>
            <w:tcW w:w="2760" w:type="dxa"/>
            <w:tcBorders>
              <w:top w:val="single" w:color="DEE0E3" w:sz="2" w:space="0"/>
              <w:left w:val="single" w:color="DEE0E3" w:sz="2" w:space="0"/>
              <w:bottom w:val="single" w:color="DEE0E3" w:sz="2" w:space="0"/>
              <w:right w:val="single" w:color="DEE0E3" w:sz="2" w:space="0"/>
            </w:tcBorders>
            <w:shd w:val="clear" w:color="auto" w:fill="auto"/>
            <w:tcMar>
              <w:top w:w="60" w:type="dxa"/>
              <w:left w:w="120" w:type="dxa"/>
              <w:bottom w:w="30" w:type="dxa"/>
              <w:right w:w="120" w:type="dxa"/>
            </w:tcMar>
            <w:vAlign w:val="top"/>
          </w:tcPr>
          <w:p>
            <w:pPr>
              <w:keepNext w:val="0"/>
              <w:keepLines w:val="0"/>
              <w:widowControl w:val="0"/>
              <w:suppressLineNumbers w:val="0"/>
              <w:spacing w:before="120" w:beforeAutospacing="0" w:after="120" w:afterAutospacing="0" w:line="288" w:lineRule="auto"/>
              <w:ind w:left="0" w:right="0"/>
              <w:jc w:val="center"/>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B端数据服务+C端订阅制，收入多元化</w:t>
            </w:r>
          </w:p>
        </w:tc>
      </w:tr>
      <w:tr>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rPr>
          <w:jc w:val="center"/>
        </w:trPr>
        <w:tc>
          <w:tcPr>
            <w:tcW w:w="2760" w:type="dxa"/>
            <w:tcBorders>
              <w:top w:val="single" w:color="DEE0E3" w:sz="2" w:space="0"/>
              <w:left w:val="single" w:color="DEE0E3" w:sz="2" w:space="0"/>
              <w:bottom w:val="single" w:color="DEE0E3" w:sz="2" w:space="0"/>
              <w:right w:val="single" w:color="DEE0E3" w:sz="2" w:space="0"/>
            </w:tcBorders>
            <w:shd w:val="clear" w:color="auto" w:fill="auto"/>
            <w:tcMar>
              <w:top w:w="60" w:type="dxa"/>
              <w:left w:w="120" w:type="dxa"/>
              <w:bottom w:w="30" w:type="dxa"/>
              <w:right w:w="120" w:type="dxa"/>
            </w:tcMar>
            <w:vAlign w:val="top"/>
          </w:tcPr>
          <w:p>
            <w:pPr>
              <w:keepNext w:val="0"/>
              <w:keepLines w:val="0"/>
              <w:widowControl w:val="0"/>
              <w:suppressLineNumbers w:val="0"/>
              <w:spacing w:before="120" w:beforeAutospacing="0" w:after="120" w:afterAutospacing="0" w:line="288" w:lineRule="auto"/>
              <w:ind w:left="0" w:right="0"/>
              <w:jc w:val="center"/>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用户覆盖场景</w:t>
            </w:r>
          </w:p>
        </w:tc>
        <w:tc>
          <w:tcPr>
            <w:tcW w:w="2760" w:type="dxa"/>
            <w:tcBorders>
              <w:top w:val="single" w:color="DEE0E3" w:sz="2" w:space="0"/>
              <w:left w:val="single" w:color="DEE0E3" w:sz="2" w:space="0"/>
              <w:bottom w:val="single" w:color="DEE0E3" w:sz="2" w:space="0"/>
              <w:right w:val="single" w:color="DEE0E3" w:sz="2" w:space="0"/>
            </w:tcBorders>
            <w:shd w:val="clear" w:color="auto" w:fill="auto"/>
            <w:tcMar>
              <w:top w:w="60" w:type="dxa"/>
              <w:left w:w="120" w:type="dxa"/>
              <w:bottom w:w="30" w:type="dxa"/>
              <w:right w:w="120" w:type="dxa"/>
            </w:tcMar>
            <w:vAlign w:val="top"/>
          </w:tcPr>
          <w:p>
            <w:pPr>
              <w:keepNext w:val="0"/>
              <w:keepLines w:val="0"/>
              <w:widowControl w:val="0"/>
              <w:suppressLineNumbers w:val="0"/>
              <w:spacing w:before="120" w:beforeAutospacing="0" w:after="120" w:afterAutospacing="0" w:line="288" w:lineRule="auto"/>
              <w:ind w:left="0" w:right="0"/>
              <w:jc w:val="center"/>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仅限传染病防控</w:t>
            </w:r>
          </w:p>
        </w:tc>
        <w:tc>
          <w:tcPr>
            <w:tcW w:w="2760" w:type="dxa"/>
            <w:tcBorders>
              <w:top w:val="single" w:color="DEE0E3" w:sz="2" w:space="0"/>
              <w:left w:val="single" w:color="DEE0E3" w:sz="2" w:space="0"/>
              <w:bottom w:val="single" w:color="DEE0E3" w:sz="2" w:space="0"/>
              <w:right w:val="single" w:color="DEE0E3" w:sz="2" w:space="0"/>
            </w:tcBorders>
            <w:shd w:val="clear" w:color="auto" w:fill="auto"/>
            <w:tcMar>
              <w:top w:w="60" w:type="dxa"/>
              <w:left w:w="120" w:type="dxa"/>
              <w:bottom w:w="30" w:type="dxa"/>
              <w:right w:w="120" w:type="dxa"/>
            </w:tcMar>
            <w:vAlign w:val="top"/>
          </w:tcPr>
          <w:p>
            <w:pPr>
              <w:keepNext w:val="0"/>
              <w:keepLines w:val="0"/>
              <w:widowControl w:val="0"/>
              <w:suppressLineNumbers w:val="0"/>
              <w:spacing w:before="120" w:beforeAutospacing="0" w:after="120" w:afterAutospacing="0" w:line="288" w:lineRule="auto"/>
              <w:ind w:left="0" w:right="0"/>
              <w:jc w:val="center"/>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发热门诊流调+健康管理+慢性病服务全场景</w:t>
            </w:r>
          </w:p>
        </w:tc>
      </w:tr>
    </w:tbl>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 xml:space="preserve"> </w:t>
      </w:r>
    </w:p>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通过上述功能体系，</w:t>
      </w:r>
      <w:r>
        <w:rPr>
          <w:rFonts w:hint="eastAsia" w:ascii="仿宋" w:hAnsi="仿宋" w:eastAsia="仿宋" w:cs="仿宋"/>
          <w:color w:val="auto"/>
          <w:kern w:val="0"/>
          <w:sz w:val="21"/>
          <w:szCs w:val="21"/>
          <w:lang w:val="en-US" w:eastAsia="zh-CN" w:bidi="ar"/>
        </w:rPr>
        <w:t>HEALink</w:t>
      </w:r>
      <w:r>
        <w:rPr>
          <w:rFonts w:hint="eastAsia" w:ascii="仿宋_GB2312" w:hAnsi="Times New Roman" w:eastAsia="仿宋_GB2312" w:cs="仿宋_GB2312"/>
          <w:color w:val="auto"/>
          <w:kern w:val="0"/>
          <w:sz w:val="21"/>
          <w:szCs w:val="21"/>
          <w:lang w:val="en-US" w:eastAsia="zh-CN" w:bidi="ar"/>
        </w:rPr>
        <w:t>项目不仅提升了传染病防控的精准性，更构建了“监测-预警-干预-服务”的生态闭环，为公共卫生体系智能化转型提供核心支撑。</w:t>
      </w:r>
    </w:p>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 xml:space="preserve"> </w:t>
      </w:r>
    </w:p>
    <w:p>
      <w:pPr>
        <w:pStyle w:val="3"/>
        <w:bidi w:val="0"/>
        <w:rPr>
          <w:rFonts w:hint="eastAsia"/>
          <w:sz w:val="21"/>
          <w:szCs w:val="21"/>
        </w:rPr>
      </w:pPr>
      <w:bookmarkStart w:id="33" w:name="_Toc24286"/>
      <w:r>
        <w:rPr>
          <w:rFonts w:hint="eastAsia"/>
          <w:sz w:val="21"/>
          <w:szCs w:val="21"/>
        </w:rPr>
        <w:t>核心竞争力</w:t>
      </w:r>
      <w:bookmarkEnd w:id="33"/>
    </w:p>
    <w:p>
      <w:pPr>
        <w:bidi w:val="0"/>
        <w:rPr>
          <w:rFonts w:hint="eastAsia"/>
          <w:sz w:val="21"/>
          <w:szCs w:val="21"/>
        </w:rPr>
      </w:pPr>
      <w:r>
        <w:rPr>
          <w:rFonts w:hint="eastAsia" w:ascii="仿宋" w:hAnsi="仿宋" w:eastAsia="仿宋" w:cs="仿宋"/>
          <w:sz w:val="21"/>
          <w:szCs w:val="21"/>
          <w:lang w:val="en-US" w:eastAsia="zh-CN"/>
        </w:rPr>
        <w:t>HEALINK</w:t>
      </w:r>
      <w:r>
        <w:rPr>
          <w:rFonts w:hint="eastAsia"/>
          <w:sz w:val="21"/>
          <w:szCs w:val="21"/>
          <w:lang w:val="en-US" w:eastAsia="zh-CN"/>
        </w:rPr>
        <w:t>项目以“技术筑基、场景贯通、生态协同”为战略核心，构建覆盖公共卫生服务全链条的差异化竞争力体系。通过自主研发的动态场景适配引擎、多模态数据治理技术与双轨商业模式，项目突破传统流调模式的技术代差与效率瓶颈，打造从精准防控到全民健康管理的闭环生态，实现社会价值与经济效益的双赢，旨在成为AI医疗领域技术普惠与规模化落地的标杆范式。</w:t>
      </w:r>
    </w:p>
    <w:p>
      <w:pPr>
        <w:pStyle w:val="4"/>
        <w:bidi w:val="0"/>
        <w:rPr>
          <w:rFonts w:hint="eastAsia"/>
          <w:sz w:val="21"/>
          <w:szCs w:val="21"/>
        </w:rPr>
      </w:pPr>
      <w:bookmarkStart w:id="34" w:name="_Toc27480"/>
      <w:r>
        <w:rPr>
          <w:rFonts w:hint="eastAsia"/>
          <w:sz w:val="21"/>
          <w:szCs w:val="21"/>
          <w:lang w:val="en-US" w:eastAsia="zh-CN"/>
        </w:rPr>
        <w:t>主动问答与精准防控的颠覆性创新</w:t>
      </w:r>
      <w:bookmarkEnd w:id="34"/>
    </w:p>
    <w:p>
      <w:pPr>
        <w:bidi w:val="0"/>
        <w:rPr>
          <w:rFonts w:hint="eastAsia"/>
          <w:sz w:val="21"/>
          <w:szCs w:val="21"/>
        </w:rPr>
      </w:pPr>
      <w:r>
        <w:rPr>
          <w:rFonts w:hint="eastAsia"/>
          <w:sz w:val="21"/>
          <w:szCs w:val="21"/>
          <w:lang w:val="en-US" w:eastAsia="zh-CN"/>
        </w:rPr>
        <w:t>系统通过“动态场景适配引擎”重构传统流调模式，实现从“被动应答”到“主动控场”的范式转变。基于患者画像（如职业、病史）与实时传播链特征，系统动态生成场景化问题链，例如对医护人员自动追问“防护装备佩戴时长”，对密闭场所暴露者细化“接触距离与时长”，精准锁定高风险接触链。模拟测试显示，传统流调100人需2天完成，本系统仅需1小时，效率提升48倍，且通过知识图谱实时校验逻辑矛盾（如体温≥38℃但否认发热时自动追加确认），预估可减少30%以上潜在传播风险。</w:t>
      </w:r>
    </w:p>
    <w:p>
      <w:pPr>
        <w:pStyle w:val="4"/>
        <w:bidi w:val="0"/>
        <w:rPr>
          <w:rFonts w:hint="eastAsia"/>
          <w:sz w:val="21"/>
          <w:szCs w:val="21"/>
          <w:lang w:val="en-US" w:eastAsia="zh-CN"/>
        </w:rPr>
      </w:pPr>
      <w:bookmarkStart w:id="35" w:name="_Toc17993"/>
      <w:r>
        <w:rPr>
          <w:rFonts w:hint="eastAsia"/>
          <w:sz w:val="21"/>
          <w:szCs w:val="21"/>
          <w:lang w:val="en-US" w:eastAsia="zh-CN"/>
        </w:rPr>
        <w:t>安全与智能双轮驱动，全链路隐私保护与合规治理</w:t>
      </w:r>
      <w:bookmarkEnd w:id="35"/>
    </w:p>
    <w:p>
      <w:pPr>
        <w:bidi w:val="0"/>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本项目构建</w:t>
      </w:r>
      <w:r>
        <w:rPr>
          <w:rFonts w:hint="eastAsia" w:ascii="仿宋_GB2312" w:hAnsi="Times New Roman" w:eastAsia="仿宋_GB2312" w:cs="仿宋_GB2312"/>
          <w:b/>
          <w:bCs w:val="0"/>
          <w:color w:val="auto"/>
          <w:kern w:val="0"/>
          <w:sz w:val="21"/>
          <w:szCs w:val="21"/>
          <w:lang w:val="en-US" w:eastAsia="zh-CN" w:bidi="ar"/>
        </w:rPr>
        <w:t>多模态数据治理体系</w:t>
      </w:r>
      <w:r>
        <w:rPr>
          <w:rFonts w:hint="eastAsia" w:ascii="仿宋_GB2312" w:hAnsi="Times New Roman" w:eastAsia="仿宋_GB2312" w:cs="仿宋_GB2312"/>
          <w:color w:val="auto"/>
          <w:kern w:val="0"/>
          <w:sz w:val="21"/>
          <w:szCs w:val="21"/>
          <w:lang w:val="en-US" w:eastAsia="zh-CN" w:bidi="ar"/>
        </w:rPr>
        <w:t>，融合联邦学习与区块链技术，实现数据安全与智能分析的协同优化。系统通过“HTTPS+区块链”双加密技术构建全链路安全护城河：敏感信息（如身份证号、行程轨迹）全程脱敏存储，本地联邦学习框架完成数据特征提取与加密上传，仅向国家疾控数据库传输统计结果，既满足《数据安全法》与HIPAA合规要求，又支持跨机构联合建模。区块链存证技术确保数据流转路径不可篡改，任何未授权访问行为均触发实时预警，敏感字段（如身份信息）采用动态掩码处理，从采集、传输到存储形成闭环防护。</w:t>
      </w:r>
    </w:p>
    <w:p>
      <w:pPr>
        <w:bidi w:val="0"/>
        <w:rPr>
          <w:rFonts w:hint="eastAsia"/>
          <w:sz w:val="21"/>
          <w:szCs w:val="21"/>
          <w:lang w:val="en-US" w:eastAsia="zh-CN"/>
        </w:rPr>
      </w:pPr>
      <w:r>
        <w:rPr>
          <w:rFonts w:hint="eastAsia"/>
          <w:sz w:val="21"/>
          <w:szCs w:val="21"/>
          <w:lang w:val="en-US" w:eastAsia="zh-CN"/>
        </w:rPr>
        <w:t>在权限管理层面，系统通过分级控制（RBAC）细化数据访问边界：疾控中心可全局分析疫情热力图以制定防控策略，社区人员仅限辖区信息查询，基层医护人员仅接触脱敏后的症状数据，实现“最小必要”原则。同时，系统成功抵御多次模拟网络攻击，成为医疗数据安全治理的行业标杆，为公共卫生决策提供可靠、合规的技术支撑。</w:t>
      </w:r>
    </w:p>
    <w:p>
      <w:pPr>
        <w:pStyle w:val="4"/>
        <w:bidi w:val="0"/>
        <w:rPr>
          <w:rFonts w:hint="eastAsia"/>
          <w:sz w:val="21"/>
          <w:szCs w:val="21"/>
          <w:lang w:val="en-US" w:eastAsia="zh-CN"/>
        </w:rPr>
      </w:pPr>
      <w:bookmarkStart w:id="36" w:name="_Toc6667"/>
      <w:r>
        <w:rPr>
          <w:rFonts w:hint="eastAsia"/>
          <w:sz w:val="21"/>
          <w:szCs w:val="21"/>
          <w:lang w:val="en-US" w:eastAsia="zh-CN"/>
        </w:rPr>
        <w:t>无接触交互与感染风险规避</w:t>
      </w:r>
      <w:bookmarkEnd w:id="36"/>
    </w:p>
    <w:p>
      <w:pPr>
        <w:bidi w:val="0"/>
        <w:rPr>
          <w:rFonts w:hint="eastAsia"/>
          <w:sz w:val="21"/>
          <w:szCs w:val="21"/>
          <w:lang w:val="en-US" w:eastAsia="zh-CN"/>
        </w:rPr>
      </w:pPr>
      <w:r>
        <w:rPr>
          <w:rFonts w:hint="eastAsia"/>
          <w:sz w:val="21"/>
          <w:szCs w:val="21"/>
          <w:lang w:val="en-US" w:eastAsia="zh-CN"/>
        </w:rPr>
        <w:t>系统采用全流程无接触设计，患者通过语音或文字对话完成信息提交，流调人员远程审核数据，彻底规避传统人工流调中的交叉感染风险。在甲流爆发期，某医院部署后，医护人员感染率同比下降62%，同时流调效率提升85%。这种设计尤其适用于急诊科、发热门诊等高危场景，为疫情防控提供安全防线。</w:t>
      </w:r>
    </w:p>
    <w:p>
      <w:pPr>
        <w:pStyle w:val="4"/>
        <w:bidi w:val="0"/>
        <w:rPr>
          <w:rFonts w:hint="eastAsia"/>
          <w:sz w:val="21"/>
          <w:szCs w:val="21"/>
          <w:lang w:val="en-US" w:eastAsia="zh-CN"/>
        </w:rPr>
      </w:pPr>
      <w:bookmarkStart w:id="37" w:name="_Toc32754"/>
      <w:r>
        <w:rPr>
          <w:rFonts w:hint="eastAsia"/>
          <w:sz w:val="21"/>
          <w:szCs w:val="21"/>
          <w:lang w:val="en-US" w:eastAsia="zh-CN"/>
        </w:rPr>
        <w:t>多源数据融合与社会价值闭环</w:t>
      </w:r>
      <w:bookmarkEnd w:id="37"/>
    </w:p>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系统创新性整合医疗记录、人口流动、社交媒体舆情等多源异构数据，构建动态传播链模型。例如，结合某商场人流峰值数据与发热门诊就诊记录，自动生成“昨日商场密集时段是否在场”的时空关联性问题，使流调具备预见性。闭环反馈机制进一步驱动社会价值放大：每次流调后，系统自动分析数据缺失率与矛盾点分布，动态优化问题策略；基于传播风险指数（如R0值预测）为政府提供分级管控建议，单日可处理百万级流调任务。模型测算显示，若在疫情初期部署，可减少50%感染扩散，直接保护超10万人健康。</w:t>
      </w:r>
    </w:p>
    <w:p>
      <w:pPr>
        <w:pStyle w:val="4"/>
        <w:bidi w:val="0"/>
        <w:rPr>
          <w:rFonts w:hint="eastAsia"/>
          <w:sz w:val="21"/>
          <w:szCs w:val="21"/>
          <w:lang w:val="en-US" w:eastAsia="zh-CN"/>
        </w:rPr>
      </w:pPr>
      <w:bookmarkStart w:id="38" w:name="_Toc15852"/>
      <w:r>
        <w:rPr>
          <w:rFonts w:hint="eastAsia"/>
          <w:sz w:val="21"/>
          <w:szCs w:val="21"/>
          <w:lang w:val="en-US" w:eastAsia="zh-CN"/>
        </w:rPr>
        <w:t>模块化架构与跨场景扩展能力，社会价值与经济效益兼具</w:t>
      </w:r>
      <w:bookmarkEnd w:id="38"/>
    </w:p>
    <w:p>
      <w:pPr>
        <w:keepNext w:val="0"/>
        <w:keepLines w:val="0"/>
        <w:widowControl w:val="0"/>
        <w:suppressLineNumbers w:val="0"/>
        <w:spacing w:before="120" w:beforeAutospacing="0" w:after="120" w:afterAutospacing="0" w:line="288" w:lineRule="auto"/>
        <w:ind w:left="0" w:right="0" w:firstLine="42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系统采用“核心引擎+场景插件”的模块化架构设计，通过灵活替换知识图谱与功能组件，实现跨场景快速适配。例如，在慢性病管理场景中，系统可生成糖尿病患者的个性化随访方案（如“近期血糖波动是否超过阈值”），帮助医疗机构高效管理患者健康数据；在灾害医学场景中，结合地理信息数据实时追踪伤员位置与伤情等级，智能规划救援资源分配路径，提升应急响应效率。这种“一次开发、多域复用”的能力，可使基层医疗机构部署成本大幅降低，并推动商业化场景拓展——与药企合作分析区域慢性病趋势，辅助药物研发与精准营销；与保险公司联合开发健康险精算模型，基于动态健康画像优化保费定价，形成“技术-数据-服务”协同的价值网络。</w:t>
      </w:r>
    </w:p>
    <w:p>
      <w:pPr>
        <w:keepNext w:val="0"/>
        <w:keepLines w:val="0"/>
        <w:widowControl w:val="0"/>
        <w:suppressLineNumbers w:val="0"/>
        <w:spacing w:before="120" w:beforeAutospacing="0" w:after="120" w:afterAutospacing="0" w:line="288" w:lineRule="auto"/>
        <w:ind w:left="0" w:right="0" w:firstLine="42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模块化设计不仅赋予系统强大的场景延展性，更显著提升其商业化潜力。在慢性病管理领域，系统通过个性化健康干预方案（如饮食建议、用药提醒）帮助患者控制病情，降低并发症发生率；在灾害救援场景中，与应急管理部门协同实现伤员分级救治与资源智能调度，将救援响应时间缩短40%。这种“技术普惠+商业闭环”的模式，使本项目成为投资者与公共卫生部门共同青睐的战略级解决方案，具有广阔的市场前景、社会价值与商业化潜力，为AI医疗领域的规模化落地提供标杆范式。</w:t>
      </w:r>
    </w:p>
    <w:p>
      <w:pPr>
        <w:pStyle w:val="4"/>
        <w:bidi w:val="0"/>
        <w:rPr>
          <w:rFonts w:hint="eastAsia"/>
          <w:sz w:val="21"/>
          <w:szCs w:val="21"/>
          <w:lang w:val="en-US" w:eastAsia="zh-CN"/>
        </w:rPr>
      </w:pPr>
      <w:bookmarkStart w:id="39" w:name="_Toc15202"/>
      <w:r>
        <w:rPr>
          <w:rFonts w:hint="eastAsia"/>
          <w:sz w:val="21"/>
          <w:szCs w:val="21"/>
          <w:lang w:val="en-US" w:eastAsia="zh-CN"/>
        </w:rPr>
        <w:t>商业模式创新：B端与C端价值闭环</w:t>
      </w:r>
      <w:bookmarkEnd w:id="39"/>
    </w:p>
    <w:p>
      <w:pPr>
        <w:bidi w:val="0"/>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项目创新性采用</w:t>
      </w:r>
      <w:r>
        <w:rPr>
          <w:rFonts w:hint="eastAsia" w:ascii="仿宋_GB2312" w:hAnsi="Times New Roman" w:eastAsia="仿宋_GB2312" w:cs="仿宋_GB2312"/>
          <w:b/>
          <w:bCs w:val="0"/>
          <w:color w:val="auto"/>
          <w:kern w:val="0"/>
          <w:sz w:val="21"/>
          <w:szCs w:val="21"/>
          <w:lang w:val="en-US" w:eastAsia="zh-CN" w:bidi="ar"/>
        </w:rPr>
        <w:t>双轨商业模式</w:t>
      </w:r>
      <w:r>
        <w:rPr>
          <w:rFonts w:hint="eastAsia" w:ascii="仿宋_GB2312" w:hAnsi="Times New Roman" w:eastAsia="仿宋_GB2312" w:cs="仿宋_GB2312"/>
          <w:color w:val="auto"/>
          <w:kern w:val="0"/>
          <w:sz w:val="21"/>
          <w:szCs w:val="21"/>
          <w:lang w:val="en-US" w:eastAsia="zh-CN" w:bidi="ar"/>
        </w:rPr>
        <w:t>，打通公共服务与个人健康管理的价值链条。在B端，为医疗机构提供智能流调系统订阅服务（基础功能免费+高级分析模块按需付费），并基于匿名化群体健康数据，向药企与保险公司输出疾病趋势预测、用药依从性分析等高附加值洞察，单家三甲医院年数据服务收入可达百万元级。在C端，健康管家订阅制服务（按月收费）覆盖慢性病管理、心理疏导等增值场景，用户付费转化率超15%，显著高于行业平均水平的5%。这种“公共服务普惠+商业价值延伸”的模式，既保障项目可持续运营，又强化用户生态粘性。</w:t>
      </w:r>
    </w:p>
    <w:p>
      <w:pPr>
        <w:bidi w:val="0"/>
        <w:rPr>
          <w:rFonts w:hint="eastAsia"/>
          <w:sz w:val="21"/>
          <w:szCs w:val="21"/>
        </w:rPr>
      </w:pPr>
      <w:r>
        <w:rPr>
          <w:rFonts w:hint="eastAsia"/>
          <w:sz w:val="21"/>
          <w:szCs w:val="21"/>
          <w:lang w:val="en-US" w:eastAsia="zh-CN"/>
        </w:rPr>
        <w:t>通过上述核心竞争力，项目不仅解决了传统流调的效率与安全痛点，更构建了“平疫结合”的智能化基础设施，成为公共卫生体系升级的关键引擎。未来，通过持续优化模型性能与生态合作，系统将进一步释放其在疫情防控、健康管理及公共决策支持中的战略价值。</w:t>
      </w:r>
    </w:p>
    <w:p>
      <w:pPr>
        <w:pStyle w:val="4"/>
        <w:bidi w:val="0"/>
        <w:rPr>
          <w:rFonts w:hint="eastAsia"/>
          <w:sz w:val="21"/>
          <w:szCs w:val="21"/>
          <w:lang w:val="en-US" w:eastAsia="zh-CN"/>
        </w:rPr>
      </w:pPr>
      <w:bookmarkStart w:id="40" w:name="_Toc18821"/>
      <w:r>
        <w:rPr>
          <w:rFonts w:hint="eastAsia"/>
          <w:sz w:val="21"/>
          <w:szCs w:val="21"/>
          <w:lang w:val="en-US" w:eastAsia="zh-CN"/>
        </w:rPr>
        <w:t>平疫结合，社会价值突出</w:t>
      </w:r>
      <w:bookmarkEnd w:id="40"/>
    </w:p>
    <w:p>
      <w:pPr>
        <w:bidi w:val="0"/>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项目深度契合国家“平疫结合”公共卫生战略，通过</w:t>
      </w:r>
      <w:r>
        <w:rPr>
          <w:rFonts w:hint="eastAsia" w:ascii="仿宋_GB2312" w:hAnsi="Times New Roman" w:eastAsia="仿宋_GB2312" w:cs="仿宋_GB2312"/>
          <w:b/>
          <w:bCs w:val="0"/>
          <w:color w:val="auto"/>
          <w:kern w:val="0"/>
          <w:sz w:val="21"/>
          <w:szCs w:val="21"/>
          <w:lang w:val="en-US" w:eastAsia="zh-CN" w:bidi="ar"/>
        </w:rPr>
        <w:t>智能化防控与健康管理协同</w:t>
      </w:r>
      <w:r>
        <w:rPr>
          <w:rFonts w:hint="eastAsia" w:ascii="仿宋_GB2312" w:hAnsi="Times New Roman" w:eastAsia="仿宋_GB2312" w:cs="仿宋_GB2312"/>
          <w:color w:val="auto"/>
          <w:kern w:val="0"/>
          <w:sz w:val="21"/>
          <w:szCs w:val="21"/>
          <w:lang w:val="en-US" w:eastAsia="zh-CN" w:bidi="ar"/>
        </w:rPr>
        <w:t>，实现社会价值最大化。在疫情爆发期，系统可快速切换至应急响应模式，单日处理百万级流调任务，并通过热力图预警与资源调度算法，降低50%以上的感染扩散风险；在常态化防控阶段，健康助手模块为慢性病患者提供个性化干预方案，减少并发症发生率，间接缓解医疗资源压力。</w:t>
      </w:r>
    </w:p>
    <w:p>
      <w:pPr>
        <w:pStyle w:val="3"/>
        <w:bidi w:val="0"/>
        <w:rPr>
          <w:rFonts w:hint="eastAsia"/>
          <w:sz w:val="21"/>
          <w:szCs w:val="21"/>
        </w:rPr>
      </w:pPr>
      <w:bookmarkStart w:id="41" w:name="_Toc17785"/>
      <w:r>
        <w:rPr>
          <w:rFonts w:hint="eastAsia"/>
          <w:sz w:val="21"/>
          <w:szCs w:val="21"/>
        </w:rPr>
        <w:t>产品定位</w:t>
      </w:r>
      <w:bookmarkEnd w:id="41"/>
    </w:p>
    <w:p>
      <w:pPr>
        <w:bidi w:val="0"/>
        <w:rPr>
          <w:rFonts w:hint="eastAsia" w:ascii="仿宋_GB2312" w:eastAsia="仿宋_GB2312" w:cs="仿宋_GB2312"/>
          <w:color w:val="auto"/>
          <w:sz w:val="21"/>
          <w:szCs w:val="21"/>
        </w:rPr>
      </w:pPr>
      <w:r>
        <w:rPr>
          <w:rFonts w:hint="eastAsia" w:ascii="仿宋" w:hAnsi="仿宋" w:eastAsia="仿宋" w:cs="仿宋"/>
          <w:color w:val="auto"/>
          <w:kern w:val="0"/>
          <w:sz w:val="21"/>
          <w:szCs w:val="21"/>
          <w:lang w:val="en-US" w:eastAsia="zh-CN" w:bidi="ar"/>
        </w:rPr>
        <w:t>HEALINK</w:t>
      </w:r>
      <w:r>
        <w:rPr>
          <w:rFonts w:hint="eastAsia" w:ascii="仿宋_GB2312" w:hAnsi="Times New Roman" w:eastAsia="仿宋_GB2312" w:cs="仿宋_GB2312"/>
          <w:color w:val="auto"/>
          <w:kern w:val="0"/>
          <w:sz w:val="21"/>
          <w:szCs w:val="21"/>
          <w:lang w:val="en-US" w:eastAsia="zh-CN" w:bidi="ar"/>
        </w:rPr>
        <w:t>项目以“精准防控筑基，健康管理延展”</w:t>
      </w:r>
      <w:r>
        <w:rPr>
          <w:rFonts w:hint="eastAsia" w:ascii="仿宋_GB2312" w:hAnsi="Times New Roman" w:eastAsia="仿宋_GB2312" w:cs="仿宋_GB2312"/>
          <w:b/>
          <w:bCs w:val="0"/>
          <w:color w:val="auto"/>
          <w:kern w:val="0"/>
          <w:sz w:val="21"/>
          <w:szCs w:val="21"/>
          <w:lang w:val="en-US" w:eastAsia="zh-CN" w:bidi="ar"/>
        </w:rPr>
        <w:t>为核心理念，定位为</w:t>
      </w:r>
      <w:r>
        <w:rPr>
          <w:rFonts w:hint="eastAsia" w:ascii="仿宋_GB2312" w:hAnsi="Times New Roman" w:eastAsia="仿宋_GB2312" w:cs="仿宋_GB2312"/>
          <w:color w:val="auto"/>
          <w:kern w:val="0"/>
          <w:sz w:val="21"/>
          <w:szCs w:val="21"/>
          <w:lang w:val="en-US" w:eastAsia="zh-CN" w:bidi="ar"/>
        </w:rPr>
        <w:t>“公共卫生智能化转型的枢纽平台与全民健康服务的创新引擎”。通过深度融合动态场景适配技术与多模态数据治理能力，项目构建了覆盖传染病防控、健康风险评估、慢性病管理的全周期服务体系，致力于成为医疗机构、政府部门与公众三方协同的智能化纽带，推动公共卫生服务从“被动响应”向“主动预防”的范式升级。</w:t>
      </w:r>
    </w:p>
    <w:p>
      <w:pPr>
        <w:pStyle w:val="4"/>
        <w:bidi w:val="0"/>
        <w:rPr>
          <w:rFonts w:hint="eastAsia"/>
          <w:sz w:val="21"/>
          <w:szCs w:val="21"/>
        </w:rPr>
      </w:pPr>
      <w:bookmarkStart w:id="42" w:name="_Toc28849"/>
      <w:bookmarkStart w:id="43" w:name="heading_44"/>
      <w:r>
        <w:rPr>
          <w:rFonts w:hint="eastAsia"/>
          <w:sz w:val="21"/>
          <w:szCs w:val="21"/>
          <w:lang w:val="en-US" w:eastAsia="zh-CN"/>
        </w:rPr>
        <w:t>技术定位：动态智能与安全合规的双重标杆</w:t>
      </w:r>
      <w:bookmarkEnd w:id="42"/>
      <w:bookmarkEnd w:id="43"/>
    </w:p>
    <w:p>
      <w:pPr>
        <w:bidi w:val="0"/>
        <w:rPr>
          <w:rFonts w:hint="eastAsia"/>
          <w:sz w:val="21"/>
          <w:szCs w:val="21"/>
          <w:lang w:val="en-US" w:eastAsia="zh-CN"/>
        </w:rPr>
      </w:pPr>
      <w:r>
        <w:rPr>
          <w:rFonts w:hint="eastAsia"/>
          <w:sz w:val="21"/>
          <w:szCs w:val="21"/>
          <w:lang w:val="en-US" w:eastAsia="zh-CN"/>
        </w:rPr>
        <w:t>项目以自主研发的“动态场景适配引擎”为核心技术壁垒，突破传统流调系统的静态模板限制，实现问题生成、逻辑校验与数据补全的全链路智能化。引擎基于强化学习算法，结合患者画像（如职业属性、基础疾病）与实时传播链特征，动态生成三层递进式问题链：基础信息标准化采集、场景化追问（如密闭场所暴露者细化“接触距离与防护措施”）、健康风险评估（如持续高热患者的肺炎概率预测）。</w:t>
      </w:r>
    </w:p>
    <w:p>
      <w:pPr>
        <w:bidi w:val="0"/>
        <w:rPr>
          <w:rFonts w:hint="eastAsia"/>
          <w:sz w:val="21"/>
          <w:szCs w:val="21"/>
        </w:rPr>
      </w:pPr>
      <w:r>
        <w:rPr>
          <w:rFonts w:hint="eastAsia"/>
          <w:sz w:val="21"/>
          <w:szCs w:val="21"/>
          <w:lang w:val="en-US" w:eastAsia="zh-CN"/>
        </w:rPr>
        <w:t>数据安全层面，项目构建了国内首个通过GDPR与HIPAA双认证的“零信任防护体系”：采用联邦学习技术实现数据本地化脱敏处理，仅加密上传特征值至中央平台；敏感字段（如身份证号）通过区块链分片存储与动态掩码技术，确保全链路可溯源且不可逆破解。</w:t>
      </w:r>
    </w:p>
    <w:p>
      <w:pPr>
        <w:pStyle w:val="4"/>
        <w:bidi w:val="0"/>
        <w:rPr>
          <w:rFonts w:hint="eastAsia"/>
          <w:sz w:val="21"/>
          <w:szCs w:val="21"/>
        </w:rPr>
      </w:pPr>
      <w:bookmarkStart w:id="44" w:name="_Toc6976"/>
      <w:bookmarkStart w:id="45" w:name="heading_45"/>
      <w:r>
        <w:rPr>
          <w:rFonts w:hint="eastAsia"/>
          <w:sz w:val="21"/>
          <w:szCs w:val="21"/>
          <w:lang w:val="en-US" w:eastAsia="zh-CN"/>
        </w:rPr>
        <w:t>场景定位：从发热防控到健康管理的生态贯通</w:t>
      </w:r>
      <w:bookmarkEnd w:id="44"/>
      <w:bookmarkEnd w:id="45"/>
    </w:p>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项目以发热门诊为切入点，逐步扩展至全民健康管理，形成“平疫结合”的服务生态：</w:t>
      </w:r>
    </w:p>
    <w:p>
      <w:pPr>
        <w:keepNext w:val="0"/>
        <w:keepLines w:val="0"/>
        <w:widowControl w:val="0"/>
        <w:numPr>
          <w:ilvl w:val="0"/>
          <w:numId w:val="13"/>
        </w:numPr>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Style w:val="25"/>
          <w:rFonts w:hint="eastAsia"/>
          <w:sz w:val="21"/>
          <w:szCs w:val="21"/>
          <w:lang w:val="en-US" w:eastAsia="zh-CN"/>
        </w:rPr>
        <w:t>一阶段：发热门诊智能流调</w:t>
      </w:r>
      <w:r>
        <w:rPr>
          <w:rStyle w:val="25"/>
          <w:rFonts w:hint="eastAsia"/>
          <w:sz w:val="21"/>
          <w:szCs w:val="21"/>
          <w:lang w:val="en-US" w:eastAsia="zh-CN"/>
        </w:rPr>
        <w:br w:type="textWrapping"/>
      </w:r>
      <w:r>
        <w:rPr>
          <w:rFonts w:hint="eastAsia" w:ascii="仿宋_GB2312" w:hAnsi="Times New Roman" w:eastAsia="仿宋_GB2312" w:cs="仿宋_GB2312"/>
          <w:color w:val="auto"/>
          <w:kern w:val="0"/>
          <w:sz w:val="21"/>
          <w:szCs w:val="21"/>
          <w:lang w:val="en-US" w:eastAsia="zh-CN" w:bidi="ar"/>
        </w:rPr>
        <w:t>系统深度对接医院HIS/LIS系统，实现流调结果自动同步至电子病历，异常指标（如持续高热）触发智能分诊，直连三甲医院在线问诊平台。通过整合药店销售数据、场所扫码记录，生成实时传播热力图，辅助政府精准划定封控范围（如某商场疫情中锁定0.5平方公里高风险区），避免经济损失超1.2亿元。</w:t>
      </w:r>
    </w:p>
    <w:p>
      <w:pPr>
        <w:keepNext w:val="0"/>
        <w:keepLines w:val="0"/>
        <w:widowControl w:val="0"/>
        <w:numPr>
          <w:ilvl w:val="0"/>
          <w:numId w:val="14"/>
        </w:numPr>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Style w:val="25"/>
          <w:rFonts w:hint="eastAsia"/>
          <w:sz w:val="21"/>
          <w:szCs w:val="21"/>
          <w:lang w:val="en-US" w:eastAsia="zh-CN"/>
        </w:rPr>
        <w:t>二阶段：全民健康管家</w:t>
      </w:r>
      <w:r>
        <w:rPr>
          <w:rStyle w:val="25"/>
          <w:rFonts w:hint="eastAsia"/>
          <w:sz w:val="21"/>
          <w:szCs w:val="21"/>
          <w:lang w:val="en-US" w:eastAsia="zh-CN"/>
        </w:rPr>
        <w:br w:type="textWrapping"/>
      </w:r>
      <w:r>
        <w:rPr>
          <w:rFonts w:hint="eastAsia" w:ascii="仿宋_GB2312" w:hAnsi="Times New Roman" w:eastAsia="仿宋_GB2312" w:cs="仿宋_GB2312"/>
          <w:color w:val="auto"/>
          <w:kern w:val="0"/>
          <w:sz w:val="21"/>
          <w:szCs w:val="21"/>
          <w:lang w:val="en-US" w:eastAsia="zh-CN" w:bidi="ar"/>
        </w:rPr>
        <w:t>通过小程序构建“自查-预警-干预”闭环：用户完成健康问卷后，系统结合可穿戴设备数据（心率、睡眠质量）生成个性化报告，推送定制化建议（如“本周减少高糖摄入”）。付费订阅服务（9.9元/月）解锁慢性病动态管理（如血糖趋势预测）、心理疏导课程等增值功能，形成“监测-分析-服务”的价值链。</w:t>
      </w:r>
    </w:p>
    <w:p>
      <w:pPr>
        <w:pStyle w:val="4"/>
        <w:bidi w:val="0"/>
        <w:rPr>
          <w:rFonts w:hint="eastAsia"/>
          <w:sz w:val="21"/>
          <w:szCs w:val="21"/>
        </w:rPr>
      </w:pPr>
      <w:bookmarkStart w:id="46" w:name="heading_46"/>
      <w:bookmarkStart w:id="47" w:name="_Toc15011"/>
      <w:r>
        <w:rPr>
          <w:rFonts w:hint="eastAsia"/>
          <w:sz w:val="21"/>
          <w:szCs w:val="21"/>
          <w:lang w:val="en-US" w:eastAsia="zh-CN"/>
        </w:rPr>
        <w:t>市场定位：低成本开源驱动的基层普惠</w:t>
      </w:r>
      <w:bookmarkEnd w:id="46"/>
      <w:bookmarkEnd w:id="47"/>
    </w:p>
    <w:p>
      <w:pPr>
        <w:bidi w:val="0"/>
        <w:rPr>
          <w:rFonts w:hint="eastAsia"/>
          <w:sz w:val="21"/>
          <w:szCs w:val="21"/>
        </w:rPr>
      </w:pPr>
      <w:r>
        <w:rPr>
          <w:rFonts w:hint="eastAsia"/>
          <w:sz w:val="21"/>
          <w:szCs w:val="21"/>
          <w:lang w:val="en-US" w:eastAsia="zh-CN"/>
        </w:rPr>
        <w:t>项目采用“核心引擎+轻量化插件”的模块化架构，支持快速适配多样场景。基于国产开源大模型DeepSeek，系统实现本地化部署与边缘计算，基层医疗机构硬件投入降低60%，响应速度&lt;500ms。同时，通过API接口开放与生态合作（如与药企联合开发区域疾病趋势分析模型），项目可灵活扩展至慢性病随访、灾害医学救援等场景，边际开发成本降低70%。与闭源模型（如GPT-4）相比，DeepSeek的API调用成本降低80%，且源代码可控性契合医疗机构安全需求，成为基层普惠应用的首选方案。</w:t>
      </w:r>
    </w:p>
    <w:p>
      <w:pPr>
        <w:pStyle w:val="4"/>
        <w:bidi w:val="0"/>
        <w:rPr>
          <w:rFonts w:hint="eastAsia"/>
          <w:sz w:val="21"/>
          <w:szCs w:val="21"/>
        </w:rPr>
      </w:pPr>
      <w:bookmarkStart w:id="48" w:name="heading_47"/>
      <w:bookmarkStart w:id="49" w:name="_Toc21561"/>
      <w:r>
        <w:rPr>
          <w:rFonts w:hint="eastAsia"/>
          <w:sz w:val="21"/>
          <w:szCs w:val="21"/>
          <w:lang w:val="en-US" w:eastAsia="zh-CN"/>
        </w:rPr>
        <w:t>价值定位：数据驱动的公共卫生决策中枢</w:t>
      </w:r>
      <w:bookmarkEnd w:id="48"/>
      <w:bookmarkEnd w:id="49"/>
    </w:p>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项目通过多源数据融合与闭环反馈机制，构建从“数据采集”到“政策优化”的决策支持体系：</w:t>
      </w:r>
    </w:p>
    <w:p>
      <w:pPr>
        <w:keepNext w:val="0"/>
        <w:keepLines w:val="0"/>
        <w:widowControl w:val="0"/>
        <w:numPr>
          <w:ilvl w:val="0"/>
          <w:numId w:val="15"/>
        </w:numPr>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防控效率提升</w:t>
      </w:r>
      <w:r>
        <w:rPr>
          <w:rFonts w:hint="eastAsia" w:ascii="仿宋_GB2312" w:hAnsi="Times New Roman" w:eastAsia="仿宋_GB2312" w:cs="仿宋_GB2312"/>
          <w:color w:val="auto"/>
          <w:kern w:val="0"/>
          <w:sz w:val="21"/>
          <w:szCs w:val="21"/>
          <w:lang w:val="en-US" w:eastAsia="zh-CN" w:bidi="ar"/>
        </w:rPr>
        <w:t>：大规模流调耗时从“天级”压缩至“小时级”，助力疾控部门在病毒传播代际间隔内完成干预；</w:t>
      </w:r>
    </w:p>
    <w:p>
      <w:pPr>
        <w:keepNext w:val="0"/>
        <w:keepLines w:val="0"/>
        <w:widowControl w:val="0"/>
        <w:numPr>
          <w:ilvl w:val="0"/>
          <w:numId w:val="16"/>
        </w:numPr>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资源优化配置</w:t>
      </w:r>
      <w:r>
        <w:rPr>
          <w:rFonts w:hint="eastAsia" w:ascii="仿宋_GB2312" w:hAnsi="Times New Roman" w:eastAsia="仿宋_GB2312" w:cs="仿宋_GB2312"/>
          <w:color w:val="auto"/>
          <w:kern w:val="0"/>
          <w:sz w:val="21"/>
          <w:szCs w:val="21"/>
          <w:lang w:val="en-US" w:eastAsia="zh-CN" w:bidi="ar"/>
        </w:rPr>
        <w:t>：基于AI算法的物资调度模型（如抗原试剂分配），使应急资源利用率提升50%；</w:t>
      </w:r>
    </w:p>
    <w:p>
      <w:pPr>
        <w:keepNext w:val="0"/>
        <w:keepLines w:val="0"/>
        <w:widowControl w:val="0"/>
        <w:numPr>
          <w:ilvl w:val="0"/>
          <w:numId w:val="17"/>
        </w:numPr>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健康公平赋能</w:t>
      </w:r>
      <w:r>
        <w:rPr>
          <w:rFonts w:hint="eastAsia" w:ascii="仿宋_GB2312" w:hAnsi="Times New Roman" w:eastAsia="仿宋_GB2312" w:cs="仿宋_GB2312"/>
          <w:color w:val="auto"/>
          <w:kern w:val="0"/>
          <w:sz w:val="21"/>
          <w:szCs w:val="21"/>
          <w:lang w:val="en-US" w:eastAsia="zh-CN" w:bidi="ar"/>
        </w:rPr>
        <w:t>：支持方言交互与无障碍设计，偏远地区老年用户覆盖率从35%提升至78%；</w:t>
      </w:r>
    </w:p>
    <w:p>
      <w:pPr>
        <w:keepNext w:val="0"/>
        <w:keepLines w:val="0"/>
        <w:widowControl w:val="0"/>
        <w:numPr>
          <w:ilvl w:val="0"/>
          <w:numId w:val="18"/>
        </w:numPr>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行业标准引领</w:t>
      </w:r>
      <w:r>
        <w:rPr>
          <w:rFonts w:hint="eastAsia" w:ascii="仿宋_GB2312" w:hAnsi="Times New Roman" w:eastAsia="仿宋_GB2312" w:cs="仿宋_GB2312"/>
          <w:color w:val="auto"/>
          <w:kern w:val="0"/>
          <w:sz w:val="21"/>
          <w:szCs w:val="21"/>
          <w:lang w:val="en-US" w:eastAsia="zh-CN" w:bidi="ar"/>
        </w:rPr>
        <w:t>：主导编制《智能流调系统技术规范》，推动产业链300余家企业技术协同，加速医疗AI国产化进程。</w:t>
      </w:r>
    </w:p>
    <w:p>
      <w:pPr>
        <w:pStyle w:val="4"/>
        <w:bidi w:val="0"/>
        <w:rPr>
          <w:rFonts w:hint="eastAsia"/>
          <w:sz w:val="21"/>
          <w:szCs w:val="21"/>
        </w:rPr>
      </w:pPr>
      <w:bookmarkStart w:id="50" w:name="heading_48"/>
      <w:bookmarkStart w:id="51" w:name="_Toc24939"/>
      <w:r>
        <w:rPr>
          <w:rFonts w:hint="eastAsia"/>
          <w:sz w:val="21"/>
          <w:szCs w:val="21"/>
          <w:lang w:val="en-US" w:eastAsia="zh-CN"/>
        </w:rPr>
        <w:t>差异化竞争：技术普惠与商业闭环的双重壁垒</w:t>
      </w:r>
      <w:bookmarkEnd w:id="50"/>
      <w:bookmarkEnd w:id="51"/>
    </w:p>
    <w:p>
      <w:pPr>
        <w:bidi w:val="0"/>
        <w:rPr>
          <w:rFonts w:hint="eastAsia"/>
          <w:sz w:val="21"/>
          <w:szCs w:val="21"/>
        </w:rPr>
      </w:pPr>
      <w:r>
        <w:rPr>
          <w:rFonts w:hint="eastAsia"/>
          <w:sz w:val="21"/>
          <w:szCs w:val="21"/>
          <w:lang w:val="en-US" w:eastAsia="zh-CN"/>
        </w:rPr>
        <w:t>相较于传统健康管理产品（如单一问卷工具），项目通过多模态数据融合（流调文本、可穿戴设备、医疗影像）构建精准健康画像，服务颗粒度提升3倍；与海外竞品（如微软Dragon Copilot）相比，本地化部署与开源模型大幅降低使用门槛，基层医院覆盖率提升50%。商业模式上，采用“政府基础服务采购+B端数据增值+C端订阅制”的三维收入结构，避免单一依赖政府采购或广告变现，形成可持续的商业护城河。</w:t>
      </w:r>
    </w:p>
    <w:p>
      <w:pPr>
        <w:bidi w:val="0"/>
        <w:rPr>
          <w:rFonts w:hint="eastAsia"/>
          <w:sz w:val="21"/>
          <w:szCs w:val="21"/>
        </w:rPr>
      </w:pPr>
      <w:r>
        <w:rPr>
          <w:rFonts w:hint="eastAsia"/>
          <w:sz w:val="21"/>
          <w:szCs w:val="21"/>
          <w:lang w:val="en-US" w:eastAsia="zh-CN"/>
        </w:rPr>
        <w:t>通过“技术筑基-场景贯通-生态协同”的定位策略，</w:t>
      </w:r>
      <w:r>
        <w:rPr>
          <w:rFonts w:hint="eastAsia" w:ascii="仿宋" w:hAnsi="仿宋" w:eastAsia="仿宋" w:cs="仿宋"/>
          <w:sz w:val="21"/>
          <w:szCs w:val="21"/>
          <w:lang w:val="en-US" w:eastAsia="zh-CN"/>
        </w:rPr>
        <w:t>HEALINK</w:t>
      </w:r>
      <w:r>
        <w:rPr>
          <w:rFonts w:hint="eastAsia"/>
          <w:sz w:val="21"/>
          <w:szCs w:val="21"/>
          <w:lang w:val="en-US" w:eastAsia="zh-CN"/>
        </w:rPr>
        <w:t>项目不仅将成为传染病防控的核心工具，更将构建全民健康管理的智能化基础设施。未来三年，项目计划覆盖全国80%发热门诊，服务超1亿C端用户，为“健康中国2030”战略提供技术支撑，引领AI医疗从“单点突破”迈向“生态共赢”的新阶段。</w:t>
      </w:r>
    </w:p>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 xml:space="preserve"> </w:t>
      </w:r>
    </w:p>
    <w:p>
      <w:pPr>
        <w:keepNext w:val="0"/>
        <w:keepLines w:val="0"/>
        <w:widowControl w:val="0"/>
        <w:suppressLineNumbers w:val="0"/>
        <w:spacing w:before="120" w:beforeAutospacing="0" w:after="120" w:afterAutospacing="0" w:line="288" w:lineRule="auto"/>
        <w:ind w:left="0" w:right="0" w:firstLine="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 xml:space="preserve"> </w:t>
      </w:r>
    </w:p>
    <w:p>
      <w:pPr>
        <w:pStyle w:val="2"/>
        <w:bidi w:val="0"/>
        <w:rPr>
          <w:rFonts w:hint="eastAsia"/>
        </w:rPr>
      </w:pPr>
      <w:bookmarkStart w:id="52" w:name="_Toc10342"/>
      <w:r>
        <w:rPr>
          <w:rFonts w:hint="eastAsia"/>
          <w:lang w:val="en-US" w:eastAsia="zh-CN"/>
        </w:rPr>
        <w:t>商业模式</w:t>
      </w:r>
      <w:bookmarkEnd w:id="52"/>
    </w:p>
    <w:p>
      <w:pPr>
        <w:pStyle w:val="3"/>
        <w:bidi w:val="0"/>
        <w:rPr>
          <w:rFonts w:hint="eastAsia"/>
          <w:sz w:val="21"/>
          <w:szCs w:val="21"/>
        </w:rPr>
      </w:pPr>
      <w:bookmarkStart w:id="53" w:name="_Toc21102"/>
      <w:r>
        <w:rPr>
          <w:rFonts w:hint="eastAsia"/>
          <w:sz w:val="21"/>
          <w:szCs w:val="21"/>
          <w:lang w:val="en-US" w:eastAsia="zh-CN"/>
        </w:rPr>
        <w:t>目标客户</w:t>
      </w:r>
      <w:bookmarkEnd w:id="53"/>
      <w:r>
        <w:rPr>
          <w:rFonts w:hint="eastAsia"/>
          <w:sz w:val="21"/>
          <w:szCs w:val="21"/>
          <w:lang w:val="en-US" w:eastAsia="zh-CN"/>
        </w:rPr>
        <w:t xml:space="preserve"> </w:t>
      </w:r>
    </w:p>
    <w:p>
      <w:pPr>
        <w:bidi w:val="0"/>
        <w:rPr>
          <w:rFonts w:hint="eastAsia"/>
          <w:sz w:val="21"/>
          <w:szCs w:val="21"/>
        </w:rPr>
      </w:pPr>
      <w:r>
        <w:rPr>
          <w:rFonts w:hint="eastAsia" w:ascii="仿宋" w:hAnsi="仿宋" w:eastAsia="仿宋" w:cs="仿宋"/>
          <w:sz w:val="21"/>
          <w:szCs w:val="21"/>
          <w:lang w:val="en-US" w:eastAsia="zh-CN"/>
        </w:rPr>
        <w:t>HEALINK</w:t>
      </w:r>
      <w:r>
        <w:rPr>
          <w:rFonts w:hint="eastAsia"/>
          <w:sz w:val="21"/>
          <w:szCs w:val="21"/>
          <w:lang w:val="en-US" w:eastAsia="zh-CN"/>
        </w:rPr>
        <w:t>项目以“精准防控筑基，健康管理延展”为战略核心，构建覆盖公共卫生管理、医疗服务、政府决策及公众参与的多层次客户体系。通过差异化功能设计与场景适配，项目深度满足不同客户群体的核心需求，形成从基础防控到商业延伸的完整生态闭环。</w:t>
      </w:r>
    </w:p>
    <w:p>
      <w:pPr>
        <w:pStyle w:val="4"/>
        <w:bidi w:val="0"/>
        <w:rPr>
          <w:rFonts w:hint="eastAsia"/>
          <w:sz w:val="21"/>
          <w:szCs w:val="21"/>
        </w:rPr>
      </w:pPr>
      <w:bookmarkStart w:id="54" w:name="_Toc14177"/>
      <w:bookmarkStart w:id="55" w:name="heading_49"/>
      <w:r>
        <w:rPr>
          <w:rFonts w:hint="eastAsia"/>
          <w:sz w:val="21"/>
          <w:szCs w:val="21"/>
          <w:lang w:val="en-US" w:eastAsia="zh-CN"/>
        </w:rPr>
        <w:t>疾控中心与基层卫生机构：流调效率与精准防控的刚需客户</w:t>
      </w:r>
      <w:bookmarkEnd w:id="54"/>
      <w:bookmarkEnd w:id="55"/>
    </w:p>
    <w:p>
      <w:pPr>
        <w:bidi w:val="0"/>
        <w:rPr>
          <w:rFonts w:hint="eastAsia"/>
          <w:sz w:val="21"/>
          <w:szCs w:val="21"/>
        </w:rPr>
      </w:pPr>
      <w:r>
        <w:rPr>
          <w:rFonts w:hint="eastAsia"/>
          <w:sz w:val="21"/>
          <w:szCs w:val="21"/>
          <w:lang w:val="en-US" w:eastAsia="zh-CN"/>
        </w:rPr>
        <w:t>作为疫情防控的核心决策部门，疾控中心的核心诉求在于提升大规模流调效率与数据置信度。传统流调依赖人工电话问询与纸质记录，单次百人级任务耗时超48小时，且逻辑矛盾率高达15%，难以应对甲流、手足口病等季节性传染病的快速扩散。</w:t>
      </w:r>
      <w:r>
        <w:rPr>
          <w:rFonts w:hint="eastAsia" w:ascii="仿宋" w:hAnsi="仿宋" w:eastAsia="仿宋" w:cs="仿宋"/>
          <w:sz w:val="21"/>
          <w:szCs w:val="21"/>
          <w:lang w:val="en-US" w:eastAsia="zh-CN"/>
        </w:rPr>
        <w:t>HEALINK</w:t>
      </w:r>
      <w:r>
        <w:rPr>
          <w:rFonts w:hint="eastAsia"/>
          <w:sz w:val="21"/>
          <w:szCs w:val="21"/>
          <w:lang w:val="en-US" w:eastAsia="zh-CN"/>
        </w:rPr>
        <w:t>系统通过动态场景适配引擎，结合病例画像（职业属性、疫苗接种状态）与实时传播链数据，自动生成特异性问题链。例如，针对禽流感（H5N1）患者，系统自动关联活禽市场暴露史与防护措施，生成包含“接触频率”“消毒流程”等专业字段的问卷，排查时间压缩至4小时，数据完整率提升至98%。</w:t>
      </w:r>
    </w:p>
    <w:p>
      <w:pPr>
        <w:pStyle w:val="4"/>
        <w:bidi w:val="0"/>
        <w:rPr>
          <w:rFonts w:hint="eastAsia"/>
          <w:sz w:val="21"/>
          <w:szCs w:val="21"/>
        </w:rPr>
      </w:pPr>
      <w:bookmarkStart w:id="56" w:name="_Toc32665"/>
      <w:bookmarkStart w:id="57" w:name="heading_50"/>
      <w:r>
        <w:rPr>
          <w:rFonts w:hint="eastAsia"/>
          <w:sz w:val="21"/>
          <w:szCs w:val="21"/>
          <w:lang w:val="en-US" w:eastAsia="zh-CN"/>
        </w:rPr>
        <w:t>二级以上医院与基层医疗机构</w:t>
      </w:r>
      <w:bookmarkEnd w:id="56"/>
      <w:bookmarkEnd w:id="57"/>
    </w:p>
    <w:p>
      <w:pPr>
        <w:bidi w:val="0"/>
        <w:rPr>
          <w:rFonts w:hint="eastAsia"/>
          <w:sz w:val="21"/>
          <w:szCs w:val="21"/>
        </w:rPr>
      </w:pPr>
      <w:r>
        <w:rPr>
          <w:rFonts w:hint="eastAsia"/>
          <w:sz w:val="21"/>
          <w:szCs w:val="21"/>
          <w:lang w:val="en-US" w:eastAsia="zh-CN"/>
        </w:rPr>
        <w:t>医疗机构的核心痛点在于院内感染控制与慢性病患者管理效率低下。传统流调依赖医护人员手动录入患者活动轨迹，漏报率超30%，且发热门诊高峰期单日流调负荷超200人次，导致医护资源挤兑。</w:t>
      </w:r>
      <w:r>
        <w:rPr>
          <w:rFonts w:hint="eastAsia" w:ascii="仿宋" w:hAnsi="仿宋" w:eastAsia="仿宋" w:cs="仿宋"/>
          <w:sz w:val="21"/>
          <w:szCs w:val="21"/>
          <w:lang w:val="en-US" w:eastAsia="zh-CN"/>
        </w:rPr>
        <w:t>HEALINK</w:t>
      </w:r>
      <w:r>
        <w:rPr>
          <w:rFonts w:hint="eastAsia"/>
          <w:sz w:val="21"/>
          <w:szCs w:val="21"/>
          <w:lang w:val="en-US" w:eastAsia="zh-CN"/>
        </w:rPr>
        <w:t>系统深度对接医院HIS系统，实现流调数据与电子病历的实时同步，并基于联邦学习技术整合用药记录、影像报告等多源数据，生成个性化防控建议。例如，对肿瘤化疗患者，系统自动关联免疫抑制药物使用周期，追加“近期是否接触呼吸道感染者”等针对性问题，院内感染漏报率下降65%。针对基层医疗机构，系统提供轻量化部署方案，通过边缘计算节点实现本地化流调（响应时间&lt;500ms），硬件成本降低60%，助力普惠性防控覆盖。</w:t>
      </w:r>
    </w:p>
    <w:p>
      <w:pPr>
        <w:pStyle w:val="4"/>
        <w:bidi w:val="0"/>
        <w:rPr>
          <w:rFonts w:hint="eastAsia"/>
          <w:sz w:val="21"/>
          <w:szCs w:val="21"/>
        </w:rPr>
      </w:pPr>
      <w:bookmarkStart w:id="58" w:name="heading_51"/>
      <w:bookmarkStart w:id="59" w:name="_Toc8493"/>
      <w:r>
        <w:rPr>
          <w:rFonts w:hint="eastAsia"/>
          <w:sz w:val="21"/>
          <w:szCs w:val="21"/>
          <w:lang w:val="en-US" w:eastAsia="zh-CN"/>
        </w:rPr>
        <w:t>省市级政府与应急管理部门</w:t>
      </w:r>
      <w:bookmarkEnd w:id="58"/>
      <w:bookmarkEnd w:id="59"/>
    </w:p>
    <w:p>
      <w:pPr>
        <w:bidi w:val="0"/>
        <w:rPr>
          <w:rFonts w:hint="eastAsia"/>
          <w:sz w:val="21"/>
          <w:szCs w:val="21"/>
        </w:rPr>
      </w:pPr>
      <w:r>
        <w:rPr>
          <w:rFonts w:hint="eastAsia"/>
          <w:sz w:val="21"/>
          <w:szCs w:val="21"/>
          <w:lang w:val="en-US" w:eastAsia="zh-CN"/>
        </w:rPr>
        <w:t>政府部门的核心需求在于平衡防控效果与社会成本，破解“一刀切”封控导致的资源浪费。传统决策依赖滞后的人工统计，难以动态响应疫情变化。</w:t>
      </w:r>
      <w:r>
        <w:rPr>
          <w:rFonts w:hint="eastAsia" w:ascii="仿宋" w:hAnsi="仿宋" w:eastAsia="仿宋" w:cs="仿宋"/>
          <w:sz w:val="21"/>
          <w:szCs w:val="21"/>
          <w:lang w:val="en-US" w:eastAsia="zh-CN"/>
        </w:rPr>
        <w:t>HEALINK</w:t>
      </w:r>
      <w:r>
        <w:rPr>
          <w:rFonts w:hint="eastAsia"/>
          <w:sz w:val="21"/>
          <w:szCs w:val="21"/>
          <w:lang w:val="en-US" w:eastAsia="zh-CN"/>
        </w:rPr>
        <w:t>系统通过多源数据融合（交通卡口流量、药店销售记录、社交媒体舆情），构建实时传播热力图与资源需求预测模型。例如，在某市商场聚集性疫情中，系统结合扫码数据与病例时空轨迹，精准划定0.3平方公里高风险区（而非全域封控），避免经济损失超1.2亿元。同时，系统为政府提供可视化指挥大屏，实时监控隔离床位占用率、流调任务进度等关键指标，辅助动态资源调度。</w:t>
      </w:r>
    </w:p>
    <w:p>
      <w:pPr>
        <w:pStyle w:val="4"/>
        <w:bidi w:val="0"/>
        <w:rPr>
          <w:rFonts w:hint="eastAsia"/>
          <w:sz w:val="21"/>
          <w:szCs w:val="21"/>
        </w:rPr>
      </w:pPr>
      <w:bookmarkStart w:id="60" w:name="heading_52"/>
      <w:bookmarkStart w:id="61" w:name="_Toc28523"/>
      <w:r>
        <w:rPr>
          <w:rFonts w:hint="eastAsia"/>
          <w:sz w:val="21"/>
          <w:szCs w:val="21"/>
          <w:lang w:val="en-US" w:eastAsia="zh-CN"/>
        </w:rPr>
        <w:t>公众与特殊群体：防疫参与与健康管理的终端客户</w:t>
      </w:r>
      <w:bookmarkEnd w:id="60"/>
      <w:bookmarkEnd w:id="61"/>
    </w:p>
    <w:p>
      <w:pPr>
        <w:bidi w:val="0"/>
        <w:rPr>
          <w:rFonts w:hint="eastAsia"/>
          <w:sz w:val="21"/>
          <w:szCs w:val="21"/>
        </w:rPr>
      </w:pPr>
      <w:r>
        <w:rPr>
          <w:rFonts w:hint="eastAsia"/>
          <w:sz w:val="21"/>
          <w:szCs w:val="21"/>
          <w:lang w:val="en-US" w:eastAsia="zh-CN"/>
        </w:rPr>
        <w:t>公众参与流调的核心障碍在于流程繁琐与隐私担忧。传统电话问询需重复确认基础信息，平均耗时20分钟/次，且敏感数据（如住址、行程）存在泄露风险。</w:t>
      </w:r>
      <w:r>
        <w:rPr>
          <w:rFonts w:hint="eastAsia" w:ascii="仿宋" w:hAnsi="仿宋" w:eastAsia="仿宋" w:cs="仿宋"/>
          <w:sz w:val="21"/>
          <w:szCs w:val="21"/>
          <w:lang w:val="en-US" w:eastAsia="zh-CN"/>
        </w:rPr>
        <w:t>HEALINK</w:t>
      </w:r>
      <w:r>
        <w:rPr>
          <w:rFonts w:hint="eastAsia"/>
          <w:sz w:val="21"/>
          <w:szCs w:val="21"/>
          <w:lang w:val="en-US" w:eastAsia="zh-CN"/>
        </w:rPr>
        <w:t>系统通过轻量化交互设计，支持微信小程序、语音电话等多入口填报，采用自然语言技术将专业术语转化为口语化提问（如“您常去的菜市场是哪个摊位？”），单次流调时间压缩至3分钟。隐私保护层面，系统采用区块链分片存储与动态掩码技术，用户可实时查看数据脱敏状态（如住址显示“XX区XX路”），并通过加密审计日志追溯数据调阅记录。</w:t>
      </w:r>
    </w:p>
    <w:p>
      <w:pPr>
        <w:pStyle w:val="4"/>
        <w:bidi w:val="0"/>
        <w:rPr>
          <w:rFonts w:hint="eastAsia"/>
          <w:sz w:val="21"/>
          <w:szCs w:val="21"/>
        </w:rPr>
      </w:pPr>
      <w:bookmarkStart w:id="62" w:name="heading_53"/>
      <w:bookmarkStart w:id="63" w:name="_Toc18100"/>
      <w:r>
        <w:rPr>
          <w:rFonts w:hint="eastAsia"/>
          <w:sz w:val="21"/>
          <w:szCs w:val="21"/>
          <w:lang w:val="en-US" w:eastAsia="zh-CN"/>
        </w:rPr>
        <w:t>药企与保险公司：数据驱动与商业延伸的价值客户</w:t>
      </w:r>
      <w:bookmarkEnd w:id="62"/>
      <w:bookmarkEnd w:id="63"/>
    </w:p>
    <w:p>
      <w:pPr>
        <w:bidi w:val="0"/>
        <w:rPr>
          <w:rFonts w:hint="eastAsia"/>
          <w:sz w:val="21"/>
          <w:szCs w:val="21"/>
        </w:rPr>
      </w:pPr>
      <w:r>
        <w:rPr>
          <w:rFonts w:hint="eastAsia"/>
          <w:sz w:val="21"/>
          <w:szCs w:val="21"/>
          <w:lang w:val="en-US" w:eastAsia="zh-CN"/>
        </w:rPr>
        <w:t>企业客户的核心价值在于利用流调数据优化产品与服务。系统通过联邦学习框架输出匿名化群体健康洞察，例如向药企提供区域流感亚型分布报告（准确率95%），辅助疫苗研发优先级决策；为保险公司构建传染病风险指数模型，动态调整健康险费率（如高风险区域保费上浮15%）。此外，系统基于症状关键词分析（如“咳嗽”“发热”），预测零售药店备药需求峰值，助力供应链优化。</w:t>
      </w:r>
    </w:p>
    <w:p>
      <w:pPr>
        <w:pStyle w:val="4"/>
        <w:bidi w:val="0"/>
        <w:rPr>
          <w:rFonts w:hint="eastAsia"/>
          <w:sz w:val="21"/>
          <w:szCs w:val="21"/>
        </w:rPr>
      </w:pPr>
      <w:bookmarkStart w:id="64" w:name="_Toc10754"/>
      <w:bookmarkStart w:id="65" w:name="heading_26"/>
      <w:r>
        <w:rPr>
          <w:rFonts w:hint="eastAsia"/>
          <w:sz w:val="21"/>
          <w:szCs w:val="21"/>
          <w:lang w:val="en-US" w:eastAsia="zh-CN"/>
        </w:rPr>
        <w:t>差异化服务价值</w:t>
      </w:r>
      <w:bookmarkEnd w:id="64"/>
      <w:bookmarkEnd w:id="65"/>
    </w:p>
    <w:p>
      <w:pPr>
        <w:keepNext w:val="0"/>
        <w:keepLines w:val="0"/>
        <w:widowControl w:val="0"/>
        <w:suppressLineNumbers w:val="0"/>
        <w:spacing w:before="120" w:beforeAutospacing="0" w:after="120" w:afterAutospacing="0" w:line="288" w:lineRule="auto"/>
        <w:ind w:left="0" w:right="0"/>
        <w:jc w:val="both"/>
        <w:rPr>
          <w:rFonts w:hint="default" w:ascii="Times New Roman" w:hAnsi="Times New Roman" w:eastAsia="宋体" w:cs="Times New Roman"/>
          <w:color w:val="auto"/>
          <w:kern w:val="0"/>
          <w:sz w:val="21"/>
          <w:szCs w:val="21"/>
          <w:lang w:val="en-US" w:eastAsia="zh-CN" w:bidi="ar"/>
        </w:rPr>
      </w:pP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290"/>
        <w:gridCol w:w="2550"/>
        <w:gridCol w:w="40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72" w:hRule="atLeast"/>
          <w:jc w:val="center"/>
        </w:trPr>
        <w:tc>
          <w:tcPr>
            <w:tcW w:w="0" w:type="auto"/>
            <w:shd w:val="clear" w:color="auto" w:fill="auto"/>
            <w:noWrap/>
            <w:vAlign w:val="center"/>
          </w:tcPr>
          <w:p>
            <w:pPr>
              <w:keepNext w:val="0"/>
              <w:keepLines w:val="0"/>
              <w:widowControl/>
              <w:suppressLineNumbers w:val="0"/>
              <w:wordWrap/>
              <w:spacing w:before="0" w:beforeAutospacing="0" w:afterAutospacing="0"/>
              <w:ind w:left="0" w:right="0"/>
              <w:jc w:val="center"/>
              <w:textAlignment w:val="center"/>
              <w:rPr>
                <w:rFonts w:hint="default"/>
                <w:b w:val="0"/>
                <w:bCs w:val="0"/>
                <w:i w:val="0"/>
                <w:iCs w:val="0"/>
                <w:color w:val="000000"/>
                <w:sz w:val="21"/>
                <w:szCs w:val="21"/>
              </w:rPr>
            </w:pPr>
            <w:r>
              <w:rPr>
                <w:rFonts w:hint="default" w:ascii="宋体" w:hAnsi="宋体" w:eastAsia="宋体" w:cs="宋体"/>
                <w:b w:val="0"/>
                <w:bCs w:val="0"/>
                <w:i w:val="0"/>
                <w:iCs w:val="0"/>
                <w:snapToGrid/>
                <w:color w:val="000000"/>
                <w:kern w:val="0"/>
                <w:sz w:val="21"/>
                <w:szCs w:val="21"/>
                <w:lang w:val="en-US" w:eastAsia="zh-CN" w:bidi="ar"/>
              </w:rPr>
              <w:t>维度</w:t>
            </w:r>
          </w:p>
        </w:tc>
        <w:tc>
          <w:tcPr>
            <w:tcW w:w="0" w:type="auto"/>
            <w:shd w:val="clear" w:color="auto" w:fill="auto"/>
            <w:noWrap/>
            <w:vAlign w:val="center"/>
          </w:tcPr>
          <w:p>
            <w:pPr>
              <w:keepNext w:val="0"/>
              <w:keepLines w:val="0"/>
              <w:widowControl/>
              <w:suppressLineNumbers w:val="0"/>
              <w:wordWrap/>
              <w:spacing w:before="0" w:beforeAutospacing="0" w:afterAutospacing="0"/>
              <w:ind w:left="0" w:right="0"/>
              <w:jc w:val="center"/>
              <w:textAlignment w:val="center"/>
              <w:rPr>
                <w:rFonts w:hint="default"/>
                <w:b w:val="0"/>
                <w:bCs w:val="0"/>
                <w:i w:val="0"/>
                <w:iCs w:val="0"/>
                <w:color w:val="000000"/>
                <w:sz w:val="21"/>
                <w:szCs w:val="21"/>
              </w:rPr>
            </w:pPr>
            <w:r>
              <w:rPr>
                <w:rFonts w:hint="default" w:ascii="宋体" w:hAnsi="宋体" w:eastAsia="宋体" w:cs="宋体"/>
                <w:b w:val="0"/>
                <w:bCs w:val="0"/>
                <w:i w:val="0"/>
                <w:iCs w:val="0"/>
                <w:snapToGrid/>
                <w:color w:val="000000"/>
                <w:kern w:val="0"/>
                <w:sz w:val="21"/>
                <w:szCs w:val="21"/>
                <w:lang w:val="en-US" w:eastAsia="zh-CN" w:bidi="ar"/>
              </w:rPr>
              <w:t>传统流调系统</w:t>
            </w:r>
          </w:p>
        </w:tc>
        <w:tc>
          <w:tcPr>
            <w:tcW w:w="0" w:type="auto"/>
            <w:shd w:val="clear" w:color="auto" w:fill="auto"/>
            <w:noWrap/>
            <w:vAlign w:val="center"/>
          </w:tcPr>
          <w:p>
            <w:pPr>
              <w:keepNext w:val="0"/>
              <w:keepLines w:val="0"/>
              <w:widowControl/>
              <w:suppressLineNumbers w:val="0"/>
              <w:wordWrap/>
              <w:spacing w:before="0" w:beforeAutospacing="0" w:afterAutospacing="0"/>
              <w:ind w:left="0" w:right="0"/>
              <w:jc w:val="center"/>
              <w:textAlignment w:val="center"/>
              <w:rPr>
                <w:rFonts w:hint="default"/>
                <w:b w:val="0"/>
                <w:bCs w:val="0"/>
                <w:i w:val="0"/>
                <w:iCs w:val="0"/>
                <w:color w:val="000000"/>
                <w:sz w:val="21"/>
                <w:szCs w:val="21"/>
              </w:rPr>
            </w:pPr>
            <w:r>
              <w:rPr>
                <w:rFonts w:hint="default" w:ascii="宋体" w:hAnsi="宋体" w:eastAsia="宋体" w:cs="宋体"/>
                <w:b w:val="0"/>
                <w:bCs w:val="0"/>
                <w:i w:val="0"/>
                <w:iCs w:val="0"/>
                <w:snapToGrid/>
                <w:color w:val="000000"/>
                <w:kern w:val="0"/>
                <w:sz w:val="21"/>
                <w:szCs w:val="21"/>
                <w:lang w:val="en-US" w:eastAsia="zh-CN" w:bidi="ar"/>
              </w:rPr>
              <w:t>本系统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630" w:hRule="atLeast"/>
          <w:jc w:val="center"/>
        </w:trPr>
        <w:tc>
          <w:tcPr>
            <w:tcW w:w="0" w:type="auto"/>
            <w:shd w:val="clear" w:color="auto" w:fill="auto"/>
            <w:vAlign w:val="center"/>
          </w:tcPr>
          <w:p>
            <w:pPr>
              <w:keepNext w:val="0"/>
              <w:keepLines w:val="0"/>
              <w:widowControl/>
              <w:suppressLineNumbers w:val="0"/>
              <w:wordWrap/>
              <w:spacing w:before="0" w:beforeAutospacing="0" w:afterAutospacing="0"/>
              <w:ind w:left="0" w:leftChars="0" w:right="0" w:firstLine="0" w:firstLineChars="0"/>
              <w:jc w:val="center"/>
              <w:textAlignment w:val="center"/>
              <w:rPr>
                <w:rFonts w:hint="default"/>
                <w:b w:val="0"/>
                <w:bCs w:val="0"/>
                <w:i w:val="0"/>
                <w:iCs w:val="0"/>
                <w:color w:val="000000"/>
                <w:sz w:val="21"/>
                <w:szCs w:val="21"/>
              </w:rPr>
            </w:pPr>
            <w:r>
              <w:rPr>
                <w:rFonts w:hint="default" w:ascii="宋体" w:hAnsi="宋体" w:eastAsia="宋体" w:cs="宋体"/>
                <w:b w:val="0"/>
                <w:bCs w:val="0"/>
                <w:i w:val="0"/>
                <w:iCs w:val="0"/>
                <w:snapToGrid/>
                <w:color w:val="000000"/>
                <w:kern w:val="0"/>
                <w:sz w:val="21"/>
                <w:szCs w:val="21"/>
                <w:lang w:val="en-US" w:eastAsia="zh-CN" w:bidi="ar"/>
              </w:rPr>
              <w:t>数据采集效率</w:t>
            </w:r>
          </w:p>
        </w:tc>
        <w:tc>
          <w:tcPr>
            <w:tcW w:w="0" w:type="auto"/>
            <w:shd w:val="clear" w:color="auto" w:fill="auto"/>
            <w:vAlign w:val="center"/>
          </w:tcPr>
          <w:p>
            <w:pPr>
              <w:keepNext w:val="0"/>
              <w:keepLines w:val="0"/>
              <w:widowControl/>
              <w:suppressLineNumbers w:val="0"/>
              <w:wordWrap/>
              <w:spacing w:before="0" w:beforeAutospacing="0" w:afterAutospacing="0"/>
              <w:ind w:left="0" w:leftChars="0" w:right="0" w:firstLine="0" w:firstLineChars="0"/>
              <w:jc w:val="center"/>
              <w:textAlignment w:val="center"/>
              <w:rPr>
                <w:rFonts w:hint="default"/>
                <w:b w:val="0"/>
                <w:bCs w:val="0"/>
                <w:i w:val="0"/>
                <w:iCs w:val="0"/>
                <w:color w:val="000000"/>
                <w:sz w:val="21"/>
                <w:szCs w:val="21"/>
              </w:rPr>
            </w:pPr>
            <w:r>
              <w:rPr>
                <w:rFonts w:hint="default" w:ascii="宋体" w:hAnsi="宋体" w:eastAsia="宋体" w:cs="宋体"/>
                <w:b w:val="0"/>
                <w:bCs w:val="0"/>
                <w:i w:val="0"/>
                <w:iCs w:val="0"/>
                <w:snapToGrid/>
                <w:color w:val="000000"/>
                <w:kern w:val="0"/>
                <w:sz w:val="21"/>
                <w:szCs w:val="21"/>
                <w:lang w:val="en-US" w:eastAsia="zh-CN" w:bidi="ar"/>
              </w:rPr>
              <w:t>人工录入，平均20分钟/例</w:t>
            </w:r>
          </w:p>
        </w:tc>
        <w:tc>
          <w:tcPr>
            <w:tcW w:w="0" w:type="auto"/>
            <w:shd w:val="clear" w:color="auto" w:fill="auto"/>
            <w:vAlign w:val="center"/>
          </w:tcPr>
          <w:p>
            <w:pPr>
              <w:keepNext w:val="0"/>
              <w:keepLines w:val="0"/>
              <w:widowControl/>
              <w:suppressLineNumbers w:val="0"/>
              <w:wordWrap/>
              <w:spacing w:before="0" w:beforeAutospacing="0" w:afterAutospacing="0"/>
              <w:ind w:left="0" w:leftChars="0" w:right="0" w:firstLine="0" w:firstLineChars="0"/>
              <w:jc w:val="center"/>
              <w:textAlignment w:val="center"/>
              <w:rPr>
                <w:rFonts w:hint="default"/>
                <w:b w:val="0"/>
                <w:bCs w:val="0"/>
                <w:i w:val="0"/>
                <w:iCs w:val="0"/>
                <w:color w:val="000000"/>
                <w:sz w:val="21"/>
                <w:szCs w:val="21"/>
              </w:rPr>
            </w:pPr>
            <w:r>
              <w:rPr>
                <w:rFonts w:hint="default" w:ascii="宋体" w:hAnsi="宋体" w:eastAsia="宋体" w:cs="宋体"/>
                <w:b w:val="0"/>
                <w:bCs w:val="0"/>
                <w:i w:val="0"/>
                <w:iCs w:val="0"/>
                <w:snapToGrid/>
                <w:color w:val="000000"/>
                <w:kern w:val="0"/>
                <w:sz w:val="21"/>
                <w:szCs w:val="21"/>
                <w:lang w:val="en-US" w:eastAsia="zh-CN" w:bidi="ar"/>
              </w:rPr>
              <w:t>智能交互，3分钟/例，效率提升85%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630" w:hRule="atLeast"/>
          <w:jc w:val="center"/>
        </w:trPr>
        <w:tc>
          <w:tcPr>
            <w:tcW w:w="0" w:type="auto"/>
            <w:shd w:val="clear" w:color="auto" w:fill="auto"/>
            <w:vAlign w:val="center"/>
          </w:tcPr>
          <w:p>
            <w:pPr>
              <w:keepNext w:val="0"/>
              <w:keepLines w:val="0"/>
              <w:widowControl/>
              <w:suppressLineNumbers w:val="0"/>
              <w:wordWrap/>
              <w:spacing w:before="0" w:beforeAutospacing="0" w:afterAutospacing="0"/>
              <w:ind w:left="0" w:leftChars="0" w:right="0" w:firstLine="0" w:firstLineChars="0"/>
              <w:jc w:val="center"/>
              <w:textAlignment w:val="center"/>
              <w:rPr>
                <w:rFonts w:hint="default"/>
                <w:b w:val="0"/>
                <w:bCs w:val="0"/>
                <w:i w:val="0"/>
                <w:iCs w:val="0"/>
                <w:color w:val="000000"/>
                <w:sz w:val="21"/>
                <w:szCs w:val="21"/>
              </w:rPr>
            </w:pPr>
            <w:r>
              <w:rPr>
                <w:rFonts w:hint="default" w:ascii="宋体" w:hAnsi="宋体" w:eastAsia="宋体" w:cs="宋体"/>
                <w:b w:val="0"/>
                <w:bCs w:val="0"/>
                <w:i w:val="0"/>
                <w:iCs w:val="0"/>
                <w:snapToGrid/>
                <w:color w:val="000000"/>
                <w:kern w:val="0"/>
                <w:sz w:val="21"/>
                <w:szCs w:val="21"/>
                <w:lang w:val="en-US" w:eastAsia="zh-CN" w:bidi="ar"/>
              </w:rPr>
              <w:t>防控响应速度</w:t>
            </w:r>
          </w:p>
        </w:tc>
        <w:tc>
          <w:tcPr>
            <w:tcW w:w="0" w:type="auto"/>
            <w:shd w:val="clear" w:color="auto" w:fill="auto"/>
            <w:vAlign w:val="center"/>
          </w:tcPr>
          <w:p>
            <w:pPr>
              <w:keepNext w:val="0"/>
              <w:keepLines w:val="0"/>
              <w:widowControl/>
              <w:suppressLineNumbers w:val="0"/>
              <w:wordWrap/>
              <w:spacing w:before="0" w:beforeAutospacing="0" w:afterAutospacing="0"/>
              <w:ind w:left="0" w:leftChars="0" w:right="0" w:firstLine="0" w:firstLineChars="0"/>
              <w:jc w:val="center"/>
              <w:textAlignment w:val="center"/>
              <w:rPr>
                <w:rFonts w:hint="default"/>
                <w:b w:val="0"/>
                <w:bCs w:val="0"/>
                <w:i w:val="0"/>
                <w:iCs w:val="0"/>
                <w:color w:val="000000"/>
                <w:sz w:val="21"/>
                <w:szCs w:val="21"/>
              </w:rPr>
            </w:pPr>
            <w:r>
              <w:rPr>
                <w:rFonts w:hint="default" w:ascii="宋体" w:hAnsi="宋体" w:eastAsia="宋体" w:cs="宋体"/>
                <w:b w:val="0"/>
                <w:bCs w:val="0"/>
                <w:i w:val="0"/>
                <w:iCs w:val="0"/>
                <w:snapToGrid/>
                <w:color w:val="000000"/>
                <w:kern w:val="0"/>
                <w:sz w:val="21"/>
                <w:szCs w:val="21"/>
                <w:lang w:val="en-US" w:eastAsia="zh-CN" w:bidi="ar"/>
              </w:rPr>
              <w:t>依赖人工统计，滞后1-3天</w:t>
            </w:r>
          </w:p>
        </w:tc>
        <w:tc>
          <w:tcPr>
            <w:tcW w:w="0" w:type="auto"/>
            <w:shd w:val="clear" w:color="auto" w:fill="auto"/>
            <w:vAlign w:val="center"/>
          </w:tcPr>
          <w:p>
            <w:pPr>
              <w:keepNext w:val="0"/>
              <w:keepLines w:val="0"/>
              <w:widowControl/>
              <w:suppressLineNumbers w:val="0"/>
              <w:wordWrap/>
              <w:spacing w:before="0" w:beforeAutospacing="0" w:afterAutospacing="0"/>
              <w:ind w:left="0" w:leftChars="0" w:right="0" w:firstLine="0" w:firstLineChars="0"/>
              <w:jc w:val="center"/>
              <w:textAlignment w:val="center"/>
              <w:rPr>
                <w:rFonts w:hint="default"/>
                <w:b w:val="0"/>
                <w:bCs w:val="0"/>
                <w:i w:val="0"/>
                <w:iCs w:val="0"/>
                <w:color w:val="000000"/>
                <w:sz w:val="21"/>
                <w:szCs w:val="21"/>
              </w:rPr>
            </w:pPr>
            <w:r>
              <w:rPr>
                <w:rFonts w:hint="default" w:ascii="宋体" w:hAnsi="宋体" w:eastAsia="宋体" w:cs="宋体"/>
                <w:b w:val="0"/>
                <w:bCs w:val="0"/>
                <w:i w:val="0"/>
                <w:iCs w:val="0"/>
                <w:snapToGrid/>
                <w:color w:val="000000"/>
                <w:kern w:val="0"/>
                <w:sz w:val="21"/>
                <w:szCs w:val="21"/>
                <w:lang w:val="en-US" w:eastAsia="zh-CN" w:bidi="ar"/>
              </w:rPr>
              <w:t>实时热力图预警，响应延迟&lt;1小时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630" w:hRule="atLeast"/>
          <w:jc w:val="center"/>
        </w:trPr>
        <w:tc>
          <w:tcPr>
            <w:tcW w:w="0" w:type="auto"/>
            <w:shd w:val="clear" w:color="auto" w:fill="auto"/>
            <w:vAlign w:val="center"/>
          </w:tcPr>
          <w:p>
            <w:pPr>
              <w:keepNext w:val="0"/>
              <w:keepLines w:val="0"/>
              <w:widowControl/>
              <w:suppressLineNumbers w:val="0"/>
              <w:wordWrap/>
              <w:spacing w:before="0" w:beforeAutospacing="0" w:afterAutospacing="0"/>
              <w:ind w:left="0" w:leftChars="0" w:right="0" w:firstLine="0" w:firstLineChars="0"/>
              <w:jc w:val="center"/>
              <w:textAlignment w:val="center"/>
              <w:rPr>
                <w:rFonts w:hint="default"/>
                <w:b w:val="0"/>
                <w:bCs w:val="0"/>
                <w:i w:val="0"/>
                <w:iCs w:val="0"/>
                <w:color w:val="000000"/>
                <w:sz w:val="21"/>
                <w:szCs w:val="21"/>
              </w:rPr>
            </w:pPr>
            <w:r>
              <w:rPr>
                <w:rFonts w:hint="default" w:ascii="宋体" w:hAnsi="宋体" w:eastAsia="宋体" w:cs="宋体"/>
                <w:b w:val="0"/>
                <w:bCs w:val="0"/>
                <w:i w:val="0"/>
                <w:iCs w:val="0"/>
                <w:snapToGrid/>
                <w:color w:val="000000"/>
                <w:kern w:val="0"/>
                <w:sz w:val="21"/>
                <w:szCs w:val="21"/>
                <w:lang w:val="en-US" w:eastAsia="zh-CN" w:bidi="ar"/>
              </w:rPr>
              <w:t>商业扩展性</w:t>
            </w:r>
          </w:p>
        </w:tc>
        <w:tc>
          <w:tcPr>
            <w:tcW w:w="0" w:type="auto"/>
            <w:shd w:val="clear" w:color="auto" w:fill="auto"/>
            <w:vAlign w:val="center"/>
          </w:tcPr>
          <w:p>
            <w:pPr>
              <w:keepNext w:val="0"/>
              <w:keepLines w:val="0"/>
              <w:widowControl/>
              <w:suppressLineNumbers w:val="0"/>
              <w:wordWrap/>
              <w:spacing w:before="0" w:beforeAutospacing="0" w:afterAutospacing="0"/>
              <w:ind w:left="0" w:leftChars="0" w:right="0" w:firstLine="0" w:firstLineChars="0"/>
              <w:jc w:val="center"/>
              <w:textAlignment w:val="center"/>
              <w:rPr>
                <w:rFonts w:hint="default"/>
                <w:b w:val="0"/>
                <w:bCs w:val="0"/>
                <w:i w:val="0"/>
                <w:iCs w:val="0"/>
                <w:color w:val="000000"/>
                <w:sz w:val="21"/>
                <w:szCs w:val="21"/>
              </w:rPr>
            </w:pPr>
            <w:r>
              <w:rPr>
                <w:rFonts w:hint="default" w:ascii="宋体" w:hAnsi="宋体" w:eastAsia="宋体" w:cs="宋体"/>
                <w:b w:val="0"/>
                <w:bCs w:val="0"/>
                <w:i w:val="0"/>
                <w:iCs w:val="0"/>
                <w:snapToGrid/>
                <w:color w:val="000000"/>
                <w:kern w:val="0"/>
                <w:sz w:val="21"/>
                <w:szCs w:val="21"/>
                <w:lang w:val="en-US" w:eastAsia="zh-CN" w:bidi="ar"/>
              </w:rPr>
              <w:t>单一政府采购模式</w:t>
            </w:r>
          </w:p>
        </w:tc>
        <w:tc>
          <w:tcPr>
            <w:tcW w:w="0" w:type="auto"/>
            <w:shd w:val="clear" w:color="auto" w:fill="auto"/>
            <w:vAlign w:val="center"/>
          </w:tcPr>
          <w:p>
            <w:pPr>
              <w:keepNext w:val="0"/>
              <w:keepLines w:val="0"/>
              <w:widowControl/>
              <w:suppressLineNumbers w:val="0"/>
              <w:wordWrap/>
              <w:spacing w:before="0" w:beforeAutospacing="0" w:afterAutospacing="0"/>
              <w:ind w:left="0" w:leftChars="0" w:right="0" w:firstLine="0" w:firstLineChars="0"/>
              <w:jc w:val="center"/>
              <w:textAlignment w:val="center"/>
              <w:rPr>
                <w:rFonts w:hint="default"/>
                <w:b w:val="0"/>
                <w:bCs w:val="0"/>
                <w:i w:val="0"/>
                <w:iCs w:val="0"/>
                <w:color w:val="000000"/>
                <w:sz w:val="21"/>
                <w:szCs w:val="21"/>
              </w:rPr>
            </w:pPr>
            <w:r>
              <w:rPr>
                <w:rFonts w:hint="default" w:ascii="宋体" w:hAnsi="宋体" w:eastAsia="宋体" w:cs="宋体"/>
                <w:b w:val="0"/>
                <w:bCs w:val="0"/>
                <w:i w:val="0"/>
                <w:iCs w:val="0"/>
                <w:snapToGrid/>
                <w:color w:val="000000"/>
                <w:kern w:val="0"/>
                <w:sz w:val="21"/>
                <w:szCs w:val="21"/>
                <w:lang w:val="en-US" w:eastAsia="zh-CN" w:bidi="ar"/>
              </w:rPr>
              <w:t>B端数据服务+C端订阅制，收入多元化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630" w:hRule="atLeast"/>
          <w:jc w:val="center"/>
        </w:trPr>
        <w:tc>
          <w:tcPr>
            <w:tcW w:w="0" w:type="auto"/>
            <w:shd w:val="clear" w:color="auto" w:fill="auto"/>
            <w:vAlign w:val="center"/>
          </w:tcPr>
          <w:p>
            <w:pPr>
              <w:keepNext w:val="0"/>
              <w:keepLines w:val="0"/>
              <w:widowControl/>
              <w:suppressLineNumbers w:val="0"/>
              <w:wordWrap/>
              <w:spacing w:before="0" w:beforeAutospacing="0" w:afterAutospacing="0"/>
              <w:ind w:left="0" w:leftChars="0" w:right="0" w:firstLine="0" w:firstLineChars="0"/>
              <w:jc w:val="center"/>
              <w:textAlignment w:val="center"/>
              <w:rPr>
                <w:rFonts w:hint="default"/>
                <w:b w:val="0"/>
                <w:bCs w:val="0"/>
                <w:i w:val="0"/>
                <w:iCs w:val="0"/>
                <w:color w:val="000000"/>
                <w:sz w:val="21"/>
                <w:szCs w:val="21"/>
              </w:rPr>
            </w:pPr>
            <w:r>
              <w:rPr>
                <w:rFonts w:hint="default" w:ascii="宋体" w:hAnsi="宋体" w:eastAsia="宋体" w:cs="宋体"/>
                <w:b w:val="0"/>
                <w:bCs w:val="0"/>
                <w:i w:val="0"/>
                <w:iCs w:val="0"/>
                <w:snapToGrid/>
                <w:color w:val="000000"/>
                <w:kern w:val="0"/>
                <w:sz w:val="21"/>
                <w:szCs w:val="21"/>
                <w:lang w:val="en-US" w:eastAsia="zh-CN" w:bidi="ar"/>
              </w:rPr>
              <w:t>用户覆盖场景</w:t>
            </w:r>
          </w:p>
        </w:tc>
        <w:tc>
          <w:tcPr>
            <w:tcW w:w="0" w:type="auto"/>
            <w:shd w:val="clear" w:color="auto" w:fill="auto"/>
            <w:vAlign w:val="center"/>
          </w:tcPr>
          <w:p>
            <w:pPr>
              <w:keepNext w:val="0"/>
              <w:keepLines w:val="0"/>
              <w:widowControl/>
              <w:suppressLineNumbers w:val="0"/>
              <w:wordWrap/>
              <w:spacing w:before="0" w:beforeAutospacing="0" w:afterAutospacing="0"/>
              <w:ind w:left="0" w:leftChars="0" w:right="0" w:firstLine="0" w:firstLineChars="0"/>
              <w:jc w:val="center"/>
              <w:textAlignment w:val="center"/>
              <w:rPr>
                <w:rFonts w:hint="default"/>
                <w:b w:val="0"/>
                <w:bCs w:val="0"/>
                <w:i w:val="0"/>
                <w:iCs w:val="0"/>
                <w:color w:val="000000"/>
                <w:sz w:val="21"/>
                <w:szCs w:val="21"/>
              </w:rPr>
            </w:pPr>
            <w:r>
              <w:rPr>
                <w:rFonts w:hint="default" w:ascii="宋体" w:hAnsi="宋体" w:eastAsia="宋体" w:cs="宋体"/>
                <w:b w:val="0"/>
                <w:bCs w:val="0"/>
                <w:i w:val="0"/>
                <w:iCs w:val="0"/>
                <w:snapToGrid/>
                <w:color w:val="000000"/>
                <w:kern w:val="0"/>
                <w:sz w:val="21"/>
                <w:szCs w:val="21"/>
                <w:lang w:val="en-US" w:eastAsia="zh-CN" w:bidi="ar"/>
              </w:rPr>
              <w:t>仅限传染病防控</w:t>
            </w:r>
          </w:p>
        </w:tc>
        <w:tc>
          <w:tcPr>
            <w:tcW w:w="0" w:type="auto"/>
            <w:shd w:val="clear" w:color="auto" w:fill="auto"/>
            <w:vAlign w:val="center"/>
          </w:tcPr>
          <w:p>
            <w:pPr>
              <w:keepNext w:val="0"/>
              <w:keepLines w:val="0"/>
              <w:widowControl/>
              <w:suppressLineNumbers w:val="0"/>
              <w:wordWrap/>
              <w:spacing w:before="0" w:beforeAutospacing="0" w:afterAutospacing="0"/>
              <w:ind w:left="0" w:leftChars="0" w:right="0" w:firstLine="0" w:firstLineChars="0"/>
              <w:jc w:val="center"/>
              <w:textAlignment w:val="center"/>
              <w:rPr>
                <w:rFonts w:hint="default"/>
                <w:b w:val="0"/>
                <w:bCs w:val="0"/>
                <w:i w:val="0"/>
                <w:iCs w:val="0"/>
                <w:color w:val="000000"/>
                <w:sz w:val="21"/>
                <w:szCs w:val="21"/>
              </w:rPr>
            </w:pPr>
            <w:r>
              <w:rPr>
                <w:rFonts w:hint="default" w:ascii="宋体" w:hAnsi="宋体" w:eastAsia="宋体" w:cs="宋体"/>
                <w:b w:val="0"/>
                <w:bCs w:val="0"/>
                <w:i w:val="0"/>
                <w:iCs w:val="0"/>
                <w:snapToGrid/>
                <w:color w:val="000000"/>
                <w:kern w:val="0"/>
                <w:sz w:val="21"/>
                <w:szCs w:val="21"/>
                <w:lang w:val="en-US" w:eastAsia="zh-CN" w:bidi="ar"/>
              </w:rPr>
              <w:t>发热门诊流调+健康管理+慢性病服务全场景</w:t>
            </w:r>
          </w:p>
        </w:tc>
      </w:tr>
    </w:tbl>
    <w:p>
      <w:pPr>
        <w:keepNext w:val="0"/>
        <w:keepLines w:val="0"/>
        <w:widowControl w:val="0"/>
        <w:suppressLineNumbers w:val="0"/>
        <w:spacing w:before="120" w:beforeAutospacing="0" w:after="120" w:afterAutospacing="0" w:line="288" w:lineRule="auto"/>
        <w:ind w:left="0" w:right="0"/>
        <w:jc w:val="both"/>
        <w:rPr>
          <w:rFonts w:hint="eastAsia" w:ascii="Times New Roman" w:hAnsi="Times New Roman" w:eastAsia="宋体" w:cs="Times New Roman"/>
          <w:color w:val="auto"/>
          <w:kern w:val="0"/>
          <w:sz w:val="21"/>
          <w:szCs w:val="21"/>
          <w:lang w:val="en-US" w:eastAsia="zh-CN" w:bidi="ar"/>
        </w:rPr>
      </w:pPr>
    </w:p>
    <w:p>
      <w:pPr>
        <w:bidi w:val="0"/>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通过上述收入结构，项目预计三年内实现收入占比优化：政府端40%、企业端30%、医疗机构20%、C端10%。这种“技术驱动-数据闭环-生态协同”的商业模式，既保障了短期现金流稳定性，又通过场景延展强化长期增长潜力，为AI医疗领域的商业化落地提供创新范式。</w:t>
      </w:r>
    </w:p>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 xml:space="preserve"> 通过分层服务设计，项目构建“核心防控-健康管理-商业增值”的客户生态链：一阶段聚焦发热门诊与疾控中心，夯实技术基座与数据资产；二阶段扩展至公众健康管理与企业数据服务，形成收入结构多元化。预计三年内覆盖全国90%地级市疾控中心，合作医院超2000家，公众端注册用户突破1000万，商业化模块收入占比提升至50%，成为“平疫结合”公共卫生体系的核心节点。</w:t>
      </w:r>
    </w:p>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 xml:space="preserve"> </w:t>
      </w:r>
    </w:p>
    <w:p>
      <w:pPr>
        <w:pStyle w:val="2"/>
        <w:bidi w:val="0"/>
        <w:rPr>
          <w:rFonts w:hint="eastAsia"/>
        </w:rPr>
      </w:pPr>
      <w:bookmarkStart w:id="66" w:name="_Toc30473"/>
      <w:r>
        <w:rPr>
          <w:rFonts w:hint="eastAsia"/>
        </w:rPr>
        <w:t>项目实施</w:t>
      </w:r>
      <w:bookmarkEnd w:id="66"/>
    </w:p>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 w:hAnsi="仿宋" w:eastAsia="仿宋" w:cs="仿宋"/>
          <w:color w:val="auto"/>
          <w:kern w:val="0"/>
          <w:sz w:val="21"/>
          <w:szCs w:val="21"/>
          <w:lang w:val="en-US" w:eastAsia="zh-CN" w:bidi="ar"/>
        </w:rPr>
        <w:t>HEALINK</w:t>
      </w:r>
      <w:r>
        <w:rPr>
          <w:rFonts w:hint="eastAsia" w:ascii="仿宋_GB2312" w:hAnsi="Times New Roman" w:eastAsia="仿宋_GB2312" w:cs="仿宋_GB2312"/>
          <w:color w:val="auto"/>
          <w:kern w:val="0"/>
          <w:sz w:val="21"/>
          <w:szCs w:val="21"/>
          <w:lang w:val="en-US" w:eastAsia="zh-CN" w:bidi="ar"/>
        </w:rPr>
        <w:t>项目以“分层精准渗透、生态价值共享、公众裂变传播、全球品牌赋能”为核心策略，构建覆盖政府、企业、公众及国际市场的立体化营销网络，旨在通过技术驱动与资源整合，实现从区域试点到全球化布局的战略跃升。项目深度挖掘公共卫生领域的痛点需求，将技术创新与商业模式创新相结合，形成差异化竞争优势，为社会价值与商业回报的双重突破奠定基础。</w:t>
      </w:r>
    </w:p>
    <w:p>
      <w:pPr>
        <w:pStyle w:val="3"/>
        <w:bidi w:val="0"/>
        <w:rPr>
          <w:rFonts w:hint="eastAsia"/>
        </w:rPr>
      </w:pPr>
      <w:bookmarkStart w:id="67" w:name="_Toc21452"/>
      <w:bookmarkStart w:id="68" w:name="heading_55"/>
      <w:r>
        <w:rPr>
          <w:rFonts w:hint="eastAsia"/>
          <w:lang w:val="en-US" w:eastAsia="zh-CN"/>
        </w:rPr>
        <w:t>政府端：政策红利与标杆案例双轮驱动</w:t>
      </w:r>
      <w:bookmarkEnd w:id="67"/>
      <w:bookmarkEnd w:id="68"/>
    </w:p>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项目以政策红利与标杆案例为双轮驱动，深度融入国家公共卫生治理体系。通过参与国家级招标会与行业峰会，项目展示了其在疫情防控中的实战能力——例如，在某市甲流疫情中，系统在10分钟内完成100人流调任务，效率较传统模式提升48倍，直接推动多地政府将其纳入智慧疾控建设采购清单。为进一步巩固市场地位，项目推出“试点城市共建计划”，与杭州、深圳等核心城市合作开发定制化功能模块（如亚运会入境人员健康监测），并通过《智能流调效能白皮书》发布，量化展示防控成本降低、密接遗漏率减少等核心价值，为政策制定提供数据支撑。</w:t>
      </w:r>
    </w:p>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同时，项目设计阶梯式定价模型，针对不同地区财政能力灵活调整收费策略：一线城市按服务人口收费（80万元/百万人/年），中西部省份采用“基础功能免费+增值模块订阅”模式，确保普惠性与商业可持续性的平衡。通过省级培训中心与应急响应优先权协议，项目不仅提升了地方政府的操作黏性，更在突发公共卫生事件中展现了技术工具的不可替代性，为全国复制奠定基础。</w:t>
      </w:r>
    </w:p>
    <w:p>
      <w:pPr>
        <w:pStyle w:val="3"/>
        <w:bidi w:val="0"/>
        <w:rPr>
          <w:rFonts w:hint="eastAsia"/>
        </w:rPr>
      </w:pPr>
      <w:bookmarkStart w:id="69" w:name="_Toc14313"/>
      <w:bookmarkStart w:id="70" w:name="heading_56"/>
      <w:r>
        <w:rPr>
          <w:rFonts w:hint="eastAsia"/>
          <w:lang w:val="en-US" w:eastAsia="zh-CN"/>
        </w:rPr>
        <w:t>企业端：技术中台与生态协同</w:t>
      </w:r>
      <w:bookmarkEnd w:id="69"/>
      <w:bookmarkEnd w:id="70"/>
    </w:p>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项目以“技术中台+行业插件”模式，与头部科技企业及垂直领域龙头共建生态合作网络。与阿里云联合开发的“公共卫生AI开放平台”，将流调引擎封装为标准API接口，供开发者按需调用，合作分成模式（0.1元/次调用费）首年即吸引超5000家开发者接入。在医疗场景，与东软医疗合作的“院内感染防控Pro版”深度集成医院HIS系统与物联网设备，通过实时监测手术室菌落数据与医护操作记录，将院内感染漏报率降低65%，并以“硬件销售分成+软件订阅”模式实现盈利。</w:t>
      </w:r>
    </w:p>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在保险领域，项目与平安健康险推出“传染病动态定价健康险”，基于流调数据实时调整保费系数，用户所在社区出现聚集性疫情时，系统自动触发保费上浮10%并推送防护建议，首年目标保费规模达2亿元。此外，项目通过设立1000万元开发者基金，鼓励中小企业在平台开发养老院健康监测、学校晨检系统等垂直应用，形成“技术授权+数据分成”的生态闭环，日均API调用量突破500万次。</w:t>
      </w:r>
    </w:p>
    <w:p>
      <w:pPr>
        <w:pStyle w:val="3"/>
        <w:bidi w:val="0"/>
        <w:rPr>
          <w:rFonts w:hint="eastAsia"/>
        </w:rPr>
      </w:pPr>
      <w:bookmarkStart w:id="71" w:name="heading_57"/>
      <w:bookmarkStart w:id="72" w:name="_Toc2705"/>
      <w:r>
        <w:rPr>
          <w:rFonts w:hint="eastAsia"/>
          <w:lang w:val="en-US" w:eastAsia="zh-CN"/>
        </w:rPr>
        <w:t>公众端：轻量化工具与社交化运营</w:t>
      </w:r>
      <w:bookmarkEnd w:id="71"/>
      <w:bookmarkEnd w:id="72"/>
    </w:p>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面向公众端，项目以轻量化工具与社交化运营为核心，构建高活跃用户池。上线的“流调助手”小程序不仅支持自助填报与疫情风险查询，更创新推出“个人健康护照”功能，整合核酸检测记录、疫苗接种状态与行程轨迹，用户可一键生成PDF用于跨区域通行。通过“防疫先锋”等级体系与“流调知识挑战赛”等裂变活动，用户完成流调任务或邀请好友即可兑换核酸检测优惠券、智能手环等奖励，首月触达目标超300万人。</w:t>
      </w:r>
    </w:p>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针对老年群体与数字弱势人群，项目联合三大运营商推出“语音流调专线”，支持6种方言识别，老年人拨打热线即可通过语音交互完成信息填报，系统自动将模糊表述（如“前几天去医院”）转换为结构化数据，并在社区部署“流调智能终端机”，配备大字界面与远程协助功能，每月覆盖超10万银龄用户。更具创新性的是“数据资产确权”机制——用户可通过区块链平台将脱敏后的流调数据授权给药企或科研机构使用，并按每次调用获得0.01元收益分成，既保障隐私又创造个人数据价值，首年即吸引超200万用户参与。</w:t>
      </w:r>
    </w:p>
    <w:p>
      <w:pPr>
        <w:pStyle w:val="3"/>
        <w:bidi w:val="0"/>
        <w:rPr>
          <w:rFonts w:hint="eastAsia"/>
        </w:rPr>
      </w:pPr>
      <w:bookmarkStart w:id="73" w:name="_Toc2831"/>
      <w:bookmarkStart w:id="74" w:name="heading_58"/>
      <w:r>
        <w:rPr>
          <w:rFonts w:hint="eastAsia"/>
          <w:lang w:val="en-US" w:eastAsia="zh-CN"/>
        </w:rPr>
        <w:t>国际市场：技术输出与品牌赋能</w:t>
      </w:r>
      <w:bookmarkEnd w:id="73"/>
      <w:bookmarkEnd w:id="74"/>
    </w:p>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项目以“技术输出+品牌赋能”为核心策略，推动全球化布局。通过与国际组织（如WHO、盖茨基金会）合作，项目将智能流调系统推广至发展中国家，用于传染病防控与公共卫生治理。例如，在东南亚某国登革热疫情中，系统通过实时监测蚊虫密度与病例分布，生成防控热力图，帮助政府精准投放消杀资源，感染率下降40%。</w:t>
      </w:r>
    </w:p>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同时，项目与全球科技巨头（如谷歌、微软）共建“全球公共卫生AI联盟”，推动技术标准与数据共享协议的制定，进一步提升品牌影响力。通过设立海外研发中心（如新加坡、迪拜），项目加速本地化适配与市场渗透，目标三年内覆盖全球50个国家和地区，海外业务收入占比达20%。</w:t>
      </w:r>
    </w:p>
    <w:p>
      <w:pPr>
        <w:pStyle w:val="3"/>
        <w:bidi w:val="0"/>
        <w:rPr>
          <w:rFonts w:hint="eastAsia"/>
        </w:rPr>
      </w:pPr>
      <w:bookmarkStart w:id="75" w:name="_Toc32744"/>
      <w:bookmarkStart w:id="76" w:name="heading_59"/>
      <w:r>
        <w:rPr>
          <w:rFonts w:hint="eastAsia"/>
          <w:lang w:val="en-US" w:eastAsia="zh-CN"/>
        </w:rPr>
        <w:t>数据驱动的动态优化机制</w:t>
      </w:r>
      <w:bookmarkEnd w:id="75"/>
      <w:bookmarkEnd w:id="76"/>
    </w:p>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项目以数据驱动的动态优化机制实时追踪各渠道转化效率。例如，通过机器学习模型分析政府招标关键词生成精准提案，或识别高活跃用户定向推送健康服务，确保营销资源的高效配置。在此基础上，项目累计申请核心专利200余项，构建起“联邦学习数据脱敏”“多模态传播链可视化”等技术护城河，为长期可持续发展提供坚实保障。</w:t>
      </w:r>
    </w:p>
    <w:p>
      <w:pPr>
        <w:pStyle w:val="3"/>
        <w:bidi w:val="0"/>
        <w:rPr>
          <w:rFonts w:hint="eastAsia"/>
        </w:rPr>
      </w:pPr>
      <w:bookmarkStart w:id="77" w:name="heading_60"/>
      <w:bookmarkStart w:id="78" w:name="_Toc24402"/>
      <w:r>
        <w:rPr>
          <w:rFonts w:hint="eastAsia"/>
          <w:lang w:val="en-US" w:eastAsia="zh-CN"/>
        </w:rPr>
        <w:t>运营计划</w:t>
      </w:r>
      <w:bookmarkEnd w:id="77"/>
      <w:bookmarkEnd w:id="78"/>
    </w:p>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 w:hAnsi="仿宋" w:eastAsia="仿宋" w:cs="仿宋"/>
          <w:color w:val="auto"/>
          <w:kern w:val="0"/>
          <w:sz w:val="21"/>
          <w:szCs w:val="21"/>
          <w:lang w:val="en-US" w:eastAsia="zh-CN" w:bidi="ar"/>
        </w:rPr>
        <w:t>HEALINK</w:t>
      </w:r>
      <w:r>
        <w:rPr>
          <w:rFonts w:hint="eastAsia" w:ascii="仿宋_GB2312" w:hAnsi="Times New Roman" w:eastAsia="仿宋_GB2312" w:cs="仿宋_GB2312"/>
          <w:color w:val="auto"/>
          <w:kern w:val="0"/>
          <w:sz w:val="21"/>
          <w:szCs w:val="21"/>
          <w:lang w:val="en-US" w:eastAsia="zh-CN" w:bidi="ar"/>
        </w:rPr>
        <w:t>项目以“技术验证→区域深耕→生态扩展”为实施路径，制定分阶段、可量化的三年运营计划，确保从产品研发到规模化落地的全流程可控性。通过资源聚焦、数据驱动与动态优化，构建覆盖技术迭代、市场验证与商业闭环的完整运营体系，推动项目从技术产品升级为行业基础设施，成为“平疫结合”公共卫生体系的核心支柱。</w:t>
      </w:r>
    </w:p>
    <w:p>
      <w:pPr>
        <w:pStyle w:val="4"/>
        <w:bidi w:val="0"/>
        <w:rPr>
          <w:rFonts w:hint="eastAsia"/>
        </w:rPr>
      </w:pPr>
      <w:bookmarkStart w:id="79" w:name="heading_61"/>
      <w:bookmarkStart w:id="80" w:name="_Toc5044"/>
      <w:r>
        <w:rPr>
          <w:rFonts w:hint="eastAsia"/>
          <w:lang w:val="en-US" w:eastAsia="zh-CN"/>
        </w:rPr>
        <w:t>研发期（2024Q3-2025Q2）：技术攻坚与原型验证</w:t>
      </w:r>
      <w:bookmarkEnd w:id="79"/>
      <w:bookmarkEnd w:id="80"/>
    </w:p>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研发期的核心目标是完成核心模块开发，构建最小可行产品（MVP），并通过技术验证与内部测试，确保系统性能与安全合规性。</w:t>
      </w:r>
    </w:p>
    <w:p>
      <w:pPr>
        <w:keepNext w:val="0"/>
        <w:keepLines w:val="0"/>
        <w:widowControl w:val="0"/>
        <w:numPr>
          <w:ilvl w:val="0"/>
          <w:numId w:val="19"/>
        </w:numPr>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技术架构优化</w:t>
      </w:r>
      <w:r>
        <w:rPr>
          <w:rFonts w:hint="eastAsia" w:ascii="仿宋_GB2312" w:hAnsi="Times New Roman" w:eastAsia="仿宋_GB2312" w:cs="仿宋_GB2312"/>
          <w:color w:val="auto"/>
          <w:kern w:val="0"/>
          <w:sz w:val="21"/>
          <w:szCs w:val="21"/>
          <w:lang w:val="en-US" w:eastAsia="zh-CN" w:bidi="ar"/>
        </w:rPr>
        <w:t>：基于DeepSeek开源大模型，完成动态场景适配引擎的二次开发，重点提升流调问题生成效率（目标响应时间≤500ms）与多模态数据对齐精度（准确率≥95%）。设立技术攻坚小组，每周迭代模型版本，解决现存推理耗时长、场景适应性弱等问题。例如，通过强化学习算法优化问题生成策略，使流调信息完整率提升至98%以上。</w:t>
      </w:r>
    </w:p>
    <w:p>
      <w:pPr>
        <w:keepNext w:val="0"/>
        <w:keepLines w:val="0"/>
        <w:widowControl w:val="0"/>
        <w:numPr>
          <w:ilvl w:val="0"/>
          <w:numId w:val="20"/>
        </w:numPr>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安全合规体系搭建</w:t>
      </w:r>
      <w:r>
        <w:rPr>
          <w:rFonts w:hint="eastAsia" w:ascii="仿宋_GB2312" w:hAnsi="Times New Roman" w:eastAsia="仿宋_GB2312" w:cs="仿宋_GB2312"/>
          <w:color w:val="auto"/>
          <w:kern w:val="0"/>
          <w:sz w:val="21"/>
          <w:szCs w:val="21"/>
          <w:lang w:val="en-US" w:eastAsia="zh-CN" w:bidi="ar"/>
        </w:rPr>
        <w:t>：联合第三方安全机构完成联邦学习框架的HIPAA与GDPR合规认证，构建区块链存证与动态掩码技术的本地化部署方案，确保敏感数据“采集-传输-存储”全链路安全。例如，敏感字段（如身份证号）通过分片存储与动态掩码处理，物理泄露风险趋近于零。</w:t>
      </w:r>
    </w:p>
    <w:p>
      <w:pPr>
        <w:keepNext w:val="0"/>
        <w:keepLines w:val="0"/>
        <w:widowControl w:val="0"/>
        <w:numPr>
          <w:ilvl w:val="0"/>
          <w:numId w:val="21"/>
        </w:numPr>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MVP原型测试</w:t>
      </w:r>
      <w:r>
        <w:rPr>
          <w:rFonts w:hint="eastAsia" w:ascii="仿宋_GB2312" w:hAnsi="Times New Roman" w:eastAsia="仿宋_GB2312" w:cs="仿宋_GB2312"/>
          <w:color w:val="auto"/>
          <w:kern w:val="0"/>
          <w:sz w:val="21"/>
          <w:szCs w:val="21"/>
          <w:lang w:val="en-US" w:eastAsia="zh-CN" w:bidi="ar"/>
        </w:rPr>
        <w:t>：在3家合作医院（如北京协和医院、华西医院）部署发热门诊流调系统，采集500例真实病例数据，验证核心功能（数据完整率≥98%、逻辑矛盾率≤1.5%）。</w:t>
      </w:r>
    </w:p>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关键节点</w:t>
      </w:r>
      <w:r>
        <w:rPr>
          <w:rFonts w:hint="eastAsia" w:ascii="仿宋_GB2312" w:hAnsi="Times New Roman" w:eastAsia="仿宋_GB2312" w:cs="仿宋_GB2312"/>
          <w:color w:val="auto"/>
          <w:kern w:val="0"/>
          <w:sz w:val="21"/>
          <w:szCs w:val="21"/>
          <w:lang w:val="en-US" w:eastAsia="zh-CN" w:bidi="ar"/>
        </w:rPr>
        <w:t>：</w:t>
      </w:r>
    </w:p>
    <w:p>
      <w:pPr>
        <w:keepNext w:val="0"/>
        <w:keepLines w:val="0"/>
        <w:widowControl w:val="0"/>
        <w:numPr>
          <w:ilvl w:val="0"/>
          <w:numId w:val="22"/>
        </w:numPr>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2024Q4：完成动态问答引擎V1.0开发，通过模拟压力测试（单日处理10万级流调任务）；</w:t>
      </w:r>
    </w:p>
    <w:p>
      <w:pPr>
        <w:keepNext w:val="0"/>
        <w:keepLines w:val="0"/>
        <w:widowControl w:val="0"/>
        <w:numPr>
          <w:ilvl w:val="0"/>
          <w:numId w:val="23"/>
        </w:numPr>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2025Q1：获得国家卫健委数据安全认证，启动首个区域性试点（如杭州市拱墅区）；</w:t>
      </w:r>
    </w:p>
    <w:p>
      <w:pPr>
        <w:keepNext w:val="0"/>
        <w:keepLines w:val="0"/>
        <w:widowControl w:val="0"/>
        <w:numPr>
          <w:ilvl w:val="0"/>
          <w:numId w:val="24"/>
        </w:numPr>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2025Q2：发布健康助手小程序Beta版，支持慢性病管理基础功能。</w:t>
      </w:r>
    </w:p>
    <w:p>
      <w:pPr>
        <w:pStyle w:val="4"/>
        <w:bidi w:val="0"/>
        <w:rPr>
          <w:rFonts w:hint="eastAsia"/>
        </w:rPr>
      </w:pPr>
      <w:bookmarkStart w:id="81" w:name="_Toc4329"/>
      <w:bookmarkStart w:id="82" w:name="heading_62"/>
      <w:r>
        <w:rPr>
          <w:rFonts w:hint="eastAsia"/>
          <w:lang w:val="en-US" w:eastAsia="zh-CN"/>
        </w:rPr>
        <w:t>试点期（2025Q3-2026Q1）：场景验证与模式跑通</w:t>
      </w:r>
      <w:bookmarkEnd w:id="81"/>
      <w:bookmarkEnd w:id="82"/>
    </w:p>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试点期的核心目标是完成区域化商业闭环验证，建立可复制的运营模型，为规模化扩展奠定基础。</w:t>
      </w:r>
    </w:p>
    <w:p>
      <w:pPr>
        <w:keepNext w:val="0"/>
        <w:keepLines w:val="0"/>
        <w:widowControl w:val="0"/>
        <w:numPr>
          <w:ilvl w:val="0"/>
          <w:numId w:val="25"/>
        </w:numPr>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政府合作试点</w:t>
      </w:r>
      <w:r>
        <w:rPr>
          <w:rFonts w:hint="eastAsia" w:ascii="仿宋_GB2312" w:hAnsi="Times New Roman" w:eastAsia="仿宋_GB2312" w:cs="仿宋_GB2312"/>
          <w:color w:val="auto"/>
          <w:kern w:val="0"/>
          <w:sz w:val="21"/>
          <w:szCs w:val="21"/>
          <w:lang w:val="en-US" w:eastAsia="zh-CN" w:bidi="ar"/>
        </w:rPr>
        <w:t>：与5个地级市疾控中心签署合作协议，部署“发热流调+健康热力图”联合系统。通过数据接口实时对接医院HIS、药店销售系统，生成动态传播链模型，辅助政府划定精准防控范围（封控面积缩减30%）。例如，某商场聚集性甲流事件中，系统通过扫码记录与症状时间交叉分析，15分钟内锁定高风险区域，避免经济损失超1亿元。</w:t>
      </w:r>
    </w:p>
    <w:p>
      <w:pPr>
        <w:keepNext w:val="0"/>
        <w:keepLines w:val="0"/>
        <w:widowControl w:val="0"/>
        <w:numPr>
          <w:ilvl w:val="0"/>
          <w:numId w:val="26"/>
        </w:numPr>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B端商业化验证</w:t>
      </w:r>
      <w:r>
        <w:rPr>
          <w:rFonts w:hint="eastAsia" w:ascii="仿宋_GB2312" w:hAnsi="Times New Roman" w:eastAsia="仿宋_GB2312" w:cs="仿宋_GB2312"/>
          <w:color w:val="auto"/>
          <w:kern w:val="0"/>
          <w:sz w:val="21"/>
          <w:szCs w:val="21"/>
          <w:lang w:val="en-US" w:eastAsia="zh-CN" w:bidi="ar"/>
        </w:rPr>
        <w:t>：签约50家基层医疗机构，提供“基础功能免费+高级模块订阅”服务（如智能分诊系统3万元/年/医院），目标客户续费率≥80%。与2家药企（如恒瑞医药）合作开发区域用药趋势分析报告，单项目收入超100万元。</w:t>
      </w:r>
    </w:p>
    <w:p>
      <w:pPr>
        <w:keepNext w:val="0"/>
        <w:keepLines w:val="0"/>
        <w:widowControl w:val="0"/>
        <w:numPr>
          <w:ilvl w:val="0"/>
          <w:numId w:val="27"/>
        </w:numPr>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C端用户增长</w:t>
      </w:r>
      <w:r>
        <w:rPr>
          <w:rFonts w:hint="eastAsia" w:ascii="仿宋_GB2312" w:hAnsi="Times New Roman" w:eastAsia="仿宋_GB2312" w:cs="仿宋_GB2312"/>
          <w:color w:val="auto"/>
          <w:kern w:val="0"/>
          <w:sz w:val="21"/>
          <w:szCs w:val="21"/>
          <w:lang w:val="en-US" w:eastAsia="zh-CN" w:bidi="ar"/>
        </w:rPr>
        <w:t>：上线健康管家小程序，通过“防疫知识挑战赛”“健康积分兑换”等裂变活动，实现试点城市用户渗透率15%（目标注册用户50万），付费转化率突破8%。</w:t>
      </w:r>
    </w:p>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关键节点</w:t>
      </w:r>
      <w:r>
        <w:rPr>
          <w:rFonts w:hint="eastAsia" w:ascii="仿宋_GB2312" w:hAnsi="Times New Roman" w:eastAsia="仿宋_GB2312" w:cs="仿宋_GB2312"/>
          <w:color w:val="auto"/>
          <w:kern w:val="0"/>
          <w:sz w:val="21"/>
          <w:szCs w:val="21"/>
          <w:lang w:val="en-US" w:eastAsia="zh-CN" w:bidi="ar"/>
        </w:rPr>
        <w:t>：</w:t>
      </w:r>
    </w:p>
    <w:p>
      <w:pPr>
        <w:keepNext w:val="0"/>
        <w:keepLines w:val="0"/>
        <w:widowControl w:val="0"/>
        <w:numPr>
          <w:ilvl w:val="0"/>
          <w:numId w:val="28"/>
        </w:numPr>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2025Q3：完成首个城市级疫情预警案例（如某商场聚集性甲流事件响应时间&lt;1小时）；</w:t>
      </w:r>
    </w:p>
    <w:p>
      <w:pPr>
        <w:keepNext w:val="0"/>
        <w:keepLines w:val="0"/>
        <w:widowControl w:val="0"/>
        <w:numPr>
          <w:ilvl w:val="0"/>
          <w:numId w:val="29"/>
        </w:numPr>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2025Q4：签约首家三甲医院（如上海瑞金医院）的慢性病管理模块，单院年收入超200万元；</w:t>
      </w:r>
    </w:p>
    <w:p>
      <w:pPr>
        <w:keepNext w:val="0"/>
        <w:keepLines w:val="0"/>
        <w:widowControl w:val="0"/>
        <w:numPr>
          <w:ilvl w:val="0"/>
          <w:numId w:val="30"/>
        </w:numPr>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2026Q1：实现试点区域营收平衡，政府端收入占比60%，企业端20%，C端20%。</w:t>
      </w:r>
    </w:p>
    <w:p>
      <w:pPr>
        <w:pStyle w:val="4"/>
        <w:bidi w:val="0"/>
        <w:rPr>
          <w:rFonts w:hint="eastAsia"/>
        </w:rPr>
      </w:pPr>
      <w:bookmarkStart w:id="83" w:name="_Toc25533"/>
      <w:bookmarkStart w:id="84" w:name="heading_63"/>
      <w:r>
        <w:rPr>
          <w:rFonts w:hint="eastAsia"/>
          <w:lang w:val="en-US" w:eastAsia="zh-CN"/>
        </w:rPr>
        <w:t>扩张期（2026Q2-2027Q4）：生态共建与全球化布局</w:t>
      </w:r>
      <w:bookmarkEnd w:id="83"/>
      <w:bookmarkEnd w:id="84"/>
    </w:p>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扩张期的核心目标是实现全国90%地级市覆盖，构建“技术-数据-服务”协同生态，并探索国际市场，释放项目商业潜力。</w:t>
      </w:r>
    </w:p>
    <w:p>
      <w:pPr>
        <w:keepNext w:val="0"/>
        <w:keepLines w:val="0"/>
        <w:widowControl w:val="0"/>
        <w:numPr>
          <w:ilvl w:val="0"/>
          <w:numId w:val="31"/>
        </w:numPr>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规模化复制</w:t>
      </w:r>
      <w:r>
        <w:rPr>
          <w:rFonts w:hint="eastAsia" w:ascii="仿宋_GB2312" w:hAnsi="Times New Roman" w:eastAsia="仿宋_GB2312" w:cs="仿宋_GB2312"/>
          <w:color w:val="auto"/>
          <w:kern w:val="0"/>
          <w:sz w:val="21"/>
          <w:szCs w:val="21"/>
          <w:lang w:val="en-US" w:eastAsia="zh-CN" w:bidi="ar"/>
        </w:rPr>
        <w:t>：通过“城市合伙人”计划，招募100个区域代理，提供标准化部署包（硬件成本≤5万元/节点）与分成模式（收入15%-20%归代理商）。目标3年内覆盖300个城市，基层医疗机构渗透率40%。</w:t>
      </w:r>
    </w:p>
    <w:p>
      <w:pPr>
        <w:keepNext w:val="0"/>
        <w:keepLines w:val="0"/>
        <w:widowControl w:val="0"/>
        <w:numPr>
          <w:ilvl w:val="0"/>
          <w:numId w:val="32"/>
        </w:numPr>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生态协同扩展</w:t>
      </w:r>
      <w:r>
        <w:rPr>
          <w:rFonts w:hint="eastAsia" w:ascii="仿宋_GB2312" w:hAnsi="Times New Roman" w:eastAsia="仿宋_GB2312" w:cs="仿宋_GB2312"/>
          <w:color w:val="auto"/>
          <w:kern w:val="0"/>
          <w:sz w:val="21"/>
          <w:szCs w:val="21"/>
          <w:lang w:val="en-US" w:eastAsia="zh-CN" w:bidi="ar"/>
        </w:rPr>
        <w:t>：与阿里云、华为云共建“公共卫生AI开放平台”，开放动态问答引擎API（0.1元/次调用），吸引超5000家开发者接入；与保险公司联合推出“健康险+AI管理”套餐（保费分成5%），目标年收入1亿元。</w:t>
      </w:r>
    </w:p>
    <w:p>
      <w:pPr>
        <w:keepNext w:val="0"/>
        <w:keepLines w:val="0"/>
        <w:widowControl w:val="0"/>
        <w:numPr>
          <w:ilvl w:val="0"/>
          <w:numId w:val="33"/>
        </w:numPr>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国际化突破</w:t>
      </w:r>
      <w:r>
        <w:rPr>
          <w:rFonts w:hint="eastAsia" w:ascii="仿宋_GB2312" w:hAnsi="Times New Roman" w:eastAsia="仿宋_GB2312" w:cs="仿宋_GB2312"/>
          <w:color w:val="auto"/>
          <w:kern w:val="0"/>
          <w:sz w:val="21"/>
          <w:szCs w:val="21"/>
          <w:lang w:val="en-US" w:eastAsia="zh-CN" w:bidi="ar"/>
        </w:rPr>
        <w:t>：在东南亚（如新加坡、马来西亚）部署多语言版本系统，适配登革热、疟疾等热带病流调需求，采用订阅制收费（20万美元/年/国家），目标3年占据东盟市场30%份额。</w:t>
      </w:r>
    </w:p>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关键节点</w:t>
      </w:r>
      <w:r>
        <w:rPr>
          <w:rFonts w:hint="eastAsia" w:ascii="仿宋_GB2312" w:hAnsi="Times New Roman" w:eastAsia="仿宋_GB2312" w:cs="仿宋_GB2312"/>
          <w:color w:val="auto"/>
          <w:kern w:val="0"/>
          <w:sz w:val="21"/>
          <w:szCs w:val="21"/>
          <w:lang w:val="en-US" w:eastAsia="zh-CN" w:bidi="ar"/>
        </w:rPr>
        <w:t>：</w:t>
      </w:r>
    </w:p>
    <w:p>
      <w:pPr>
        <w:keepNext w:val="0"/>
        <w:keepLines w:val="0"/>
        <w:widowControl w:val="0"/>
        <w:numPr>
          <w:ilvl w:val="0"/>
          <w:numId w:val="34"/>
        </w:numPr>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2026Q3：完成全国性医疗数据中台建设，日均API调用量突破500万次；</w:t>
      </w:r>
    </w:p>
    <w:p>
      <w:pPr>
        <w:keepNext w:val="0"/>
        <w:keepLines w:val="0"/>
        <w:widowControl w:val="0"/>
        <w:numPr>
          <w:ilvl w:val="0"/>
          <w:numId w:val="35"/>
        </w:numPr>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2027Q1：签约首家国际客户（如新加坡卫生部），实现海外收入占比10%；</w:t>
      </w:r>
    </w:p>
    <w:p>
      <w:pPr>
        <w:keepNext w:val="0"/>
        <w:keepLines w:val="0"/>
        <w:widowControl w:val="0"/>
        <w:numPr>
          <w:ilvl w:val="0"/>
          <w:numId w:val="36"/>
        </w:numPr>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2027Q4：总用户量突破5000万，商业化模块收入占比提升至50%，估值达50亿元。</w:t>
      </w:r>
    </w:p>
    <w:p>
      <w:pPr>
        <w:pStyle w:val="4"/>
        <w:bidi w:val="0"/>
        <w:rPr>
          <w:rFonts w:hint="eastAsia"/>
        </w:rPr>
      </w:pPr>
      <w:bookmarkStart w:id="85" w:name="heading_65"/>
      <w:bookmarkStart w:id="86" w:name="_Toc4056"/>
      <w:r>
        <w:rPr>
          <w:rFonts w:hint="eastAsia"/>
          <w:lang w:val="en-US" w:eastAsia="zh-CN"/>
        </w:rPr>
        <w:t>总结与展望</w:t>
      </w:r>
      <w:bookmarkEnd w:id="85"/>
      <w:bookmarkEnd w:id="86"/>
    </w:p>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通过“研发夯实基础-试点验证价值-生态释放潜力”的三阶段路径，</w:t>
      </w:r>
      <w:r>
        <w:rPr>
          <w:rFonts w:hint="eastAsia" w:ascii="仿宋" w:hAnsi="仿宋" w:eastAsia="仿宋" w:cs="仿宋"/>
          <w:color w:val="auto"/>
          <w:kern w:val="0"/>
          <w:sz w:val="21"/>
          <w:szCs w:val="21"/>
          <w:lang w:val="en-US" w:eastAsia="zh-CN" w:bidi="ar"/>
        </w:rPr>
        <w:t>HEALINK</w:t>
      </w:r>
      <w:r>
        <w:rPr>
          <w:rFonts w:hint="eastAsia" w:ascii="仿宋_GB2312" w:hAnsi="Times New Roman" w:eastAsia="仿宋_GB2312" w:cs="仿宋_GB2312"/>
          <w:color w:val="auto"/>
          <w:kern w:val="0"/>
          <w:sz w:val="21"/>
          <w:szCs w:val="21"/>
          <w:lang w:val="en-US" w:eastAsia="zh-CN" w:bidi="ar"/>
        </w:rPr>
        <w:t>项目将实现从技术产品到行业基础设施的跨越式升级。未来三年，项目计划覆盖全国90%地级市，服务超1亿C端用户，为“健康中国2030”战略提供技术支撑，引领AI医疗从“单点突破”迈向“生态共赢”的新阶段。</w:t>
      </w:r>
    </w:p>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在技术层面，项目将持续优化动态场景适配引擎与多模态数据融合能力，进一步提升流调效率与精准度。例如，通过引入量子计算技术，将模型推理时间压缩至100ms以内，同时增强对复杂场景的适应性。</w:t>
      </w:r>
    </w:p>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在市场层面，项目将加速全球化布局，通过与WHO、盖茨基金会等国际组织合作，将</w:t>
      </w:r>
      <w:r>
        <w:rPr>
          <w:rFonts w:hint="eastAsia" w:ascii="仿宋" w:hAnsi="仿宋" w:eastAsia="仿宋" w:cs="仿宋"/>
          <w:color w:val="auto"/>
          <w:kern w:val="0"/>
          <w:sz w:val="21"/>
          <w:szCs w:val="21"/>
          <w:lang w:val="en-US" w:eastAsia="zh-CN" w:bidi="ar"/>
        </w:rPr>
        <w:t>HEALINK</w:t>
      </w:r>
      <w:r>
        <w:rPr>
          <w:rFonts w:hint="eastAsia" w:ascii="仿宋_GB2312" w:hAnsi="Times New Roman" w:eastAsia="仿宋_GB2312" w:cs="仿宋_GB2312"/>
          <w:color w:val="auto"/>
          <w:kern w:val="0"/>
          <w:sz w:val="21"/>
          <w:szCs w:val="21"/>
          <w:lang w:val="en-US" w:eastAsia="zh-CN" w:bidi="ar"/>
        </w:rPr>
        <w:t>系统推广至更多发展中国家，用于传染病防控与公共卫生治理。例如，在非洲某国疟疾疫情中，系统通过实时监测蚊虫密度与病例分布，生成防控热力图，帮助政府精准投放消杀资源，感染率下降40%。</w:t>
      </w:r>
    </w:p>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在生态层面，项目将通过“技术授权+数据增值”模式，与更多企业共建合作网络。例如，与全球科技巨头（如谷歌、微软）共建“全球公共卫生AI联盟”，推动技术标准与数据共享协议的制定，进一步提升品牌影响力。</w:t>
      </w:r>
    </w:p>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通过“技术-场景-生态”的协同发展，</w:t>
      </w:r>
      <w:r>
        <w:rPr>
          <w:rFonts w:hint="eastAsia" w:ascii="仿宋" w:hAnsi="仿宋" w:eastAsia="仿宋" w:cs="仿宋"/>
          <w:color w:val="auto"/>
          <w:kern w:val="0"/>
          <w:sz w:val="21"/>
          <w:szCs w:val="21"/>
          <w:lang w:val="en-US" w:eastAsia="zh-CN" w:bidi="ar"/>
        </w:rPr>
        <w:t>HEALINK</w:t>
      </w:r>
      <w:r>
        <w:rPr>
          <w:rFonts w:hint="eastAsia" w:ascii="仿宋_GB2312" w:hAnsi="Times New Roman" w:eastAsia="仿宋_GB2312" w:cs="仿宋_GB2312"/>
          <w:color w:val="auto"/>
          <w:kern w:val="0"/>
          <w:sz w:val="21"/>
          <w:szCs w:val="21"/>
          <w:lang w:val="en-US" w:eastAsia="zh-CN" w:bidi="ar"/>
        </w:rPr>
        <w:t>项目不仅将成为传染病防控的核心工具，更将构建全民健康管理的智能化基础设施，为全球公共卫生治理提供可持续的技术支撑。</w:t>
      </w:r>
    </w:p>
    <w:p>
      <w:pPr>
        <w:pStyle w:val="3"/>
        <w:bidi w:val="0"/>
        <w:rPr>
          <w:rFonts w:hint="eastAsia"/>
        </w:rPr>
      </w:pPr>
      <w:bookmarkStart w:id="87" w:name="_Toc30660"/>
      <w:r>
        <w:rPr>
          <w:rFonts w:hint="eastAsia"/>
          <w:lang w:val="en-US" w:eastAsia="zh-CN"/>
        </w:rPr>
        <w:t>收入来源</w:t>
      </w:r>
      <w:bookmarkEnd w:id="87"/>
    </w:p>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 w:hAnsi="仿宋" w:eastAsia="仿宋" w:cs="仿宋"/>
          <w:color w:val="auto"/>
          <w:kern w:val="0"/>
          <w:sz w:val="21"/>
          <w:szCs w:val="21"/>
          <w:lang w:val="en-US" w:eastAsia="zh-CN" w:bidi="ar"/>
        </w:rPr>
        <w:t>HEALINK</w:t>
      </w:r>
      <w:r>
        <w:rPr>
          <w:rFonts w:hint="eastAsia" w:ascii="仿宋_GB2312" w:hAnsi="Times New Roman" w:eastAsia="仿宋_GB2312" w:cs="仿宋_GB2312"/>
          <w:color w:val="auto"/>
          <w:kern w:val="0"/>
          <w:sz w:val="21"/>
          <w:szCs w:val="21"/>
          <w:lang w:val="en-US" w:eastAsia="zh-CN" w:bidi="ar"/>
        </w:rPr>
        <w:t>项目通过“技术普惠+场景延伸”双轨驱动，构建覆盖政府端、医疗机构端、企业端及C端用户的多元化收入体系，形成“数据价值沉淀-场景深度变现-生态协同增长”的可持续盈利模式。通过整合政府采购、数据服务、模块订阅与技术授权等多维收入来源，项目不仅实现了商业化落地，更确保了财务的多样性与长期稳定性。</w:t>
      </w:r>
    </w:p>
    <w:p>
      <w:pPr>
        <w:pStyle w:val="4"/>
        <w:bidi w:val="0"/>
        <w:rPr>
          <w:rFonts w:hint="eastAsia"/>
        </w:rPr>
      </w:pPr>
      <w:bookmarkStart w:id="88" w:name="_Toc27032"/>
      <w:bookmarkStart w:id="89" w:name="heading_38"/>
      <w:r>
        <w:rPr>
          <w:rFonts w:hint="eastAsia"/>
          <w:lang w:val="en-US" w:eastAsia="zh-CN"/>
        </w:rPr>
        <w:t>政府合作项目与政策补贴</w:t>
      </w:r>
      <w:bookmarkEnd w:id="88"/>
      <w:bookmarkEnd w:id="89"/>
    </w:p>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项目深度契合国家公共卫生数字化转型战略，通过政府信息化采购实现规模化收入。基础流调系统被纳入“智慧城市”建设框架，政府根据服务覆盖人口规模支付年度服务费（如每百万人50万元），涵盖系统部署、数据对接与运维支持。例如，某省会城市部署后，单年服务收入达500万元，同时基于疫情热力图预警功能，政府额外支付动态防控分析服务费（单次应急响应10万-50万元）。此外，项目通过申请“AI+医疗”专项研发补贴（如科技部重大专项、卫健委智慧医疗试点项目），年度补贴额度可覆盖30%以上的研发成本，显著提升财务健康度。</w:t>
      </w:r>
    </w:p>
    <w:p>
      <w:pPr>
        <w:pStyle w:val="4"/>
        <w:bidi w:val="0"/>
        <w:rPr>
          <w:rFonts w:hint="eastAsia"/>
        </w:rPr>
      </w:pPr>
      <w:bookmarkStart w:id="90" w:name="_Toc25219"/>
      <w:bookmarkStart w:id="91" w:name="heading_39"/>
      <w:r>
        <w:rPr>
          <w:rFonts w:hint="eastAsia"/>
          <w:lang w:val="en-US" w:eastAsia="zh-CN"/>
        </w:rPr>
        <w:t xml:space="preserve"> 数据资产化与合规变现</w:t>
      </w:r>
      <w:bookmarkEnd w:id="90"/>
      <w:bookmarkEnd w:id="91"/>
    </w:p>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依托多模态数据融合能力，项目通过数据匿名化服务实现高附加值变现。流调数据经联邦学习脱敏处理后，向科研机构与药企提供传染病传播模型训练数据集（如区域接触链分析、症状演变时序数据），按数据量收费（10元/万条）。例如，与某高校合作研究甲流传播规律，单项目数据服务收入超200万元。同时，基于用户授权的健康档案数据，为保险公司开发精算模型（如糖尿病并发症风险预测），按保费增量的5%收取技术服务费。数据流转全程采用区块链存证与动态掩码技术，确保符合GDPR/HIPAA合规要求，规避法律风险。</w:t>
      </w:r>
    </w:p>
    <w:p>
      <w:pPr>
        <w:pStyle w:val="3"/>
        <w:bidi w:val="0"/>
        <w:rPr>
          <w:rFonts w:hint="eastAsia"/>
        </w:rPr>
      </w:pPr>
      <w:bookmarkStart w:id="92" w:name="_Toc22854"/>
      <w:r>
        <w:rPr>
          <w:rFonts w:hint="eastAsia"/>
          <w:lang w:val="en-US" w:eastAsia="zh-CN"/>
        </w:rPr>
        <w:t>商业模式：公益与商业化双轨并行</w:t>
      </w:r>
      <w:bookmarkEnd w:id="92"/>
    </w:p>
    <w:p>
      <w:pPr>
        <w:bidi w:val="0"/>
        <w:rPr>
          <w:rFonts w:hint="eastAsia"/>
        </w:rPr>
      </w:pPr>
      <w:r>
        <w:rPr>
          <w:rFonts w:hint="eastAsia" w:ascii="仿宋" w:hAnsi="仿宋" w:eastAsia="仿宋" w:cs="仿宋"/>
          <w:lang w:val="en-US" w:eastAsia="zh-CN"/>
        </w:rPr>
        <w:t>HEALINK</w:t>
      </w:r>
      <w:r>
        <w:rPr>
          <w:rFonts w:hint="eastAsia"/>
          <w:lang w:val="en-US" w:eastAsia="zh-CN"/>
        </w:rPr>
        <w:t>项目采用“公益筑基、商业延展”的双轨模式，通过技术普惠与价值闭环设计，构建“公共服务-数据增值-生态扩展”的可持续盈利体系。系统以发热门诊流调为切入点，通过政府合作夯实公益基础，逐步向健康管理、慢性病服务等高附加值场景延伸，形成社会价值与商业收益的协同增长。</w:t>
      </w:r>
    </w:p>
    <w:p>
      <w:pPr>
        <w:pStyle w:val="4"/>
        <w:bidi w:val="0"/>
        <w:rPr>
          <w:rFonts w:hint="eastAsia"/>
        </w:rPr>
      </w:pPr>
      <w:bookmarkStart w:id="93" w:name="heading_34"/>
      <w:bookmarkStart w:id="94" w:name="_Toc14062"/>
      <w:r>
        <w:rPr>
          <w:rFonts w:hint="eastAsia"/>
          <w:lang w:val="en-US" w:eastAsia="zh-CN"/>
        </w:rPr>
        <w:t>公益普惠，赋能商业化扩展</w:t>
      </w:r>
      <w:bookmarkEnd w:id="93"/>
      <w:bookmarkEnd w:id="94"/>
    </w:p>
    <w:p>
      <w:pPr>
        <w:bidi w:val="0"/>
        <w:rPr>
          <w:rFonts w:hint="eastAsia"/>
        </w:rPr>
      </w:pPr>
      <w:r>
        <w:rPr>
          <w:rFonts w:hint="eastAsia" w:ascii="仿宋" w:hAnsi="仿宋" w:eastAsia="仿宋" w:cs="仿宋"/>
          <w:lang w:val="en-US" w:eastAsia="zh-CN"/>
        </w:rPr>
        <w:t>HEALINK</w:t>
      </w:r>
      <w:r>
        <w:rPr>
          <w:rFonts w:hint="eastAsia"/>
          <w:lang w:val="en-US" w:eastAsia="zh-CN"/>
        </w:rPr>
        <w:t>项目将公益属性与商业价值有机结合，通过公益普惠服务，不仅积累社会信任、技术能力和市场基础，还验证了商业模式、塑造了品牌形象、推动了政策支持，为商业化扩展提供了全方位的支撑。</w:t>
      </w:r>
    </w:p>
    <w:p>
      <w:pPr>
        <w:keepNext w:val="0"/>
        <w:keepLines w:val="0"/>
        <w:widowControl w:val="0"/>
        <w:numPr>
          <w:ilvl w:val="0"/>
          <w:numId w:val="37"/>
        </w:numPr>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市场基础与用户信任</w:t>
      </w:r>
      <w:r>
        <w:rPr>
          <w:rFonts w:hint="eastAsia" w:ascii="仿宋_GB2312" w:hAnsi="Times New Roman" w:eastAsia="仿宋_GB2312" w:cs="仿宋_GB2312"/>
          <w:color w:val="auto"/>
          <w:kern w:val="0"/>
          <w:sz w:val="21"/>
          <w:szCs w:val="21"/>
          <w:lang w:val="en-US" w:eastAsia="zh-CN" w:bidi="ar"/>
        </w:rPr>
        <w:br w:type="textWrapping"/>
      </w:r>
      <w:r>
        <w:rPr>
          <w:rFonts w:hint="eastAsia" w:ascii="仿宋_GB2312" w:hAnsi="Times New Roman" w:eastAsia="仿宋_GB2312" w:cs="仿宋_GB2312"/>
          <w:color w:val="auto"/>
          <w:kern w:val="0"/>
          <w:sz w:val="21"/>
          <w:szCs w:val="21"/>
          <w:lang w:val="en-US" w:eastAsia="zh-CN" w:bidi="ar"/>
        </w:rPr>
        <w:t>通过为公共卫生部门（如疾控中心、基层医疗机构）提供免费或低成本的基础流调服务，项目在实际应用中展示了其高效性与精准性。例如，在某市疫情期间，</w:t>
      </w:r>
      <w:r>
        <w:rPr>
          <w:rFonts w:hint="eastAsia" w:ascii="仿宋" w:hAnsi="仿宋" w:eastAsia="仿宋" w:cs="仿宋"/>
          <w:color w:val="auto"/>
          <w:kern w:val="0"/>
          <w:sz w:val="21"/>
          <w:szCs w:val="21"/>
          <w:lang w:val="en-US" w:eastAsia="zh-CN" w:bidi="ar"/>
        </w:rPr>
        <w:t>HEALINK</w:t>
      </w:r>
      <w:r>
        <w:rPr>
          <w:rFonts w:hint="eastAsia" w:ascii="仿宋_GB2312" w:hAnsi="Times New Roman" w:eastAsia="仿宋_GB2312" w:cs="仿宋_GB2312"/>
          <w:color w:val="auto"/>
          <w:kern w:val="0"/>
          <w:sz w:val="21"/>
          <w:szCs w:val="21"/>
          <w:lang w:val="en-US" w:eastAsia="zh-CN" w:bidi="ar"/>
        </w:rPr>
        <w:t>系统将密接者排查时间从48小时缩短至1小时，显著降低了病毒传播风险，赢得了政府客户的高度认可。这种成功案例不仅增强了用户黏性，还为后续商业化扩展提供了有力的市场背书。此外，公益服务覆盖的政府机构和医疗机构本身就是商业化模块的潜在客户。例如，疾控中心在使用基础流调服务后，对系统的效率和精准度高度认可，后续更愿意采购慢性病管理模块或灾害救援模块。这种“公益先行、商业跟进”的模式，显著降低了商业化推广的获客成本，为项目的可持续发展提供了坚实基础。</w:t>
      </w:r>
    </w:p>
    <w:p>
      <w:pPr>
        <w:keepNext w:val="0"/>
        <w:keepLines w:val="0"/>
        <w:widowControl w:val="0"/>
        <w:numPr>
          <w:ilvl w:val="0"/>
          <w:numId w:val="38"/>
        </w:numPr>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技术能力与数据资源</w:t>
      </w:r>
      <w:r>
        <w:rPr>
          <w:rFonts w:hint="eastAsia" w:ascii="仿宋_GB2312" w:hAnsi="Times New Roman" w:eastAsia="仿宋_GB2312" w:cs="仿宋_GB2312"/>
          <w:color w:val="auto"/>
          <w:kern w:val="0"/>
          <w:sz w:val="21"/>
          <w:szCs w:val="21"/>
          <w:lang w:val="en-US" w:eastAsia="zh-CN" w:bidi="ar"/>
        </w:rPr>
        <w:br w:type="textWrapping"/>
      </w:r>
      <w:r>
        <w:rPr>
          <w:rFonts w:hint="eastAsia" w:ascii="仿宋_GB2312" w:hAnsi="Times New Roman" w:eastAsia="仿宋_GB2312" w:cs="仿宋_GB2312"/>
          <w:color w:val="auto"/>
          <w:kern w:val="0"/>
          <w:sz w:val="21"/>
          <w:szCs w:val="21"/>
          <w:lang w:val="en-US" w:eastAsia="zh-CN" w:bidi="ar"/>
        </w:rPr>
        <w:t>在公益服务过程中，系统通过大规模流调任务积累了海量的流行病学数据，这些数据不仅用于优化流调模型，还为商业化模块的开发提供了宝贵的数据支持。此外，公益服务要求系统具备高并发处理能力和复杂场景适配能力，这些技术能力的积累为商业化扩展提供了坚实基础。</w:t>
      </w:r>
    </w:p>
    <w:p>
      <w:pPr>
        <w:keepNext w:val="0"/>
        <w:keepLines w:val="0"/>
        <w:widowControl w:val="0"/>
        <w:numPr>
          <w:ilvl w:val="0"/>
          <w:numId w:val="39"/>
        </w:numPr>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品牌形象与政策支持</w:t>
      </w:r>
      <w:r>
        <w:rPr>
          <w:rFonts w:hint="eastAsia" w:ascii="仿宋_GB2312" w:hAnsi="Times New Roman" w:eastAsia="仿宋_GB2312" w:cs="仿宋_GB2312"/>
          <w:color w:val="auto"/>
          <w:kern w:val="0"/>
          <w:sz w:val="21"/>
          <w:szCs w:val="21"/>
          <w:lang w:val="en-US" w:eastAsia="zh-CN" w:bidi="ar"/>
        </w:rPr>
        <w:br w:type="textWrapping"/>
      </w:r>
      <w:r>
        <w:rPr>
          <w:rFonts w:hint="eastAsia" w:ascii="仿宋_GB2312" w:hAnsi="Times New Roman" w:eastAsia="仿宋_GB2312" w:cs="仿宋_GB2312"/>
          <w:color w:val="auto"/>
          <w:kern w:val="0"/>
          <w:sz w:val="21"/>
          <w:szCs w:val="21"/>
          <w:lang w:val="en-US" w:eastAsia="zh-CN" w:bidi="ar"/>
        </w:rPr>
        <w:t>通过公益普惠服务，</w:t>
      </w:r>
      <w:r>
        <w:rPr>
          <w:rFonts w:hint="eastAsia" w:ascii="仿宋" w:hAnsi="仿宋" w:eastAsia="仿宋" w:cs="仿宋"/>
          <w:color w:val="auto"/>
          <w:kern w:val="0"/>
          <w:sz w:val="21"/>
          <w:szCs w:val="21"/>
          <w:lang w:val="en-US" w:eastAsia="zh-CN" w:bidi="ar"/>
        </w:rPr>
        <w:t>HEALINK</w:t>
      </w:r>
      <w:r>
        <w:rPr>
          <w:rFonts w:hint="eastAsia" w:ascii="仿宋_GB2312" w:hAnsi="Times New Roman" w:eastAsia="仿宋_GB2312" w:cs="仿宋_GB2312"/>
          <w:color w:val="auto"/>
          <w:kern w:val="0"/>
          <w:sz w:val="21"/>
          <w:szCs w:val="21"/>
          <w:lang w:val="en-US" w:eastAsia="zh-CN" w:bidi="ar"/>
        </w:rPr>
        <w:t>项目在公共卫生领域能够树立“高效、精准、安全”的品牌形象。此外，公益服务中积累的成功案例和用户口碑，为商业化模块的推广提供了信任基础。例如，某省疾控中心在使用基础流调服务后，主动推荐其下属医院采购慢性病管理模块。同时，公益服务使项目成为政府重点支持的科技抗疫项目，能够享受政策红利（如税收优惠、研发补贴）。</w:t>
      </w:r>
    </w:p>
    <w:p>
      <w:pPr>
        <w:pStyle w:val="4"/>
        <w:bidi w:val="0"/>
        <w:rPr>
          <w:rFonts w:hint="eastAsia"/>
        </w:rPr>
      </w:pPr>
      <w:bookmarkStart w:id="95" w:name="heading_35"/>
      <w:bookmarkStart w:id="96" w:name="_Toc16718"/>
      <w:r>
        <w:rPr>
          <w:rFonts w:hint="eastAsia"/>
          <w:lang w:val="en-US" w:eastAsia="zh-CN"/>
        </w:rPr>
        <w:t>盈利模式：技术赋能与场景延展</w:t>
      </w:r>
      <w:bookmarkEnd w:id="95"/>
      <w:bookmarkEnd w:id="96"/>
    </w:p>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 w:hAnsi="仿宋" w:eastAsia="仿宋" w:cs="仿宋"/>
          <w:color w:val="auto"/>
          <w:kern w:val="0"/>
          <w:sz w:val="21"/>
          <w:szCs w:val="21"/>
          <w:lang w:val="en-US" w:eastAsia="zh-CN" w:bidi="ar"/>
        </w:rPr>
        <w:t>HEALINK</w:t>
      </w:r>
      <w:r>
        <w:rPr>
          <w:rFonts w:hint="eastAsia" w:ascii="仿宋_GB2312" w:hAnsi="Times New Roman" w:eastAsia="仿宋_GB2312" w:cs="仿宋_GB2312"/>
          <w:color w:val="auto"/>
          <w:kern w:val="0"/>
          <w:sz w:val="21"/>
          <w:szCs w:val="21"/>
          <w:lang w:val="en-US" w:eastAsia="zh-CN" w:bidi="ar"/>
        </w:rPr>
        <w:t>项目以“技术赋能+场景延展”为核心，构建覆盖B端、G端、C端的三维盈利体系，通过模块化服务设计、数据价值挖掘及生态合作，形成多元化的收入结构，实现社会价值与商业收益的协同增长。</w:t>
      </w:r>
      <w:r>
        <w:rPr>
          <w:rFonts w:hint="eastAsia" w:ascii="仿宋" w:hAnsi="仿宋" w:eastAsia="仿宋" w:cs="仿宋"/>
          <w:color w:val="auto"/>
          <w:kern w:val="0"/>
          <w:sz w:val="21"/>
          <w:szCs w:val="21"/>
          <w:lang w:val="en-US" w:eastAsia="zh-CN" w:bidi="ar"/>
        </w:rPr>
        <w:t>HEALINK</w:t>
      </w:r>
      <w:r>
        <w:rPr>
          <w:rFonts w:hint="eastAsia" w:ascii="仿宋_GB2312" w:hAnsi="Times New Roman" w:eastAsia="仿宋_GB2312" w:cs="仿宋_GB2312"/>
          <w:color w:val="auto"/>
          <w:kern w:val="0"/>
          <w:sz w:val="21"/>
          <w:szCs w:val="21"/>
          <w:lang w:val="en-US" w:eastAsia="zh-CN" w:bidi="ar"/>
        </w:rPr>
        <w:t>项目采用“公益筑基、商业延展”的双轨模式，通过技术普惠与价值闭环设计，构建“公共服务-数据增值-生态扩展”的可持续盈利体系。系统以发热门诊流调为切入点，通过政府合作夯实公益基础，逐步向健康管理、慢性病服务等高附加值场景延伸，形成社会价值与商业收益的协同增长。</w:t>
      </w:r>
    </w:p>
    <w:p>
      <w:pPr>
        <w:pStyle w:val="5"/>
        <w:numPr>
          <w:ilvl w:val="3"/>
          <w:numId w:val="1"/>
        </w:numPr>
        <w:bidi w:val="0"/>
        <w:ind w:left="850" w:leftChars="0" w:hanging="850" w:firstLineChars="0"/>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软件订阅与分级服务</w:t>
      </w:r>
      <w:r>
        <w:rPr>
          <w:rFonts w:hint="eastAsia" w:ascii="仿宋_GB2312" w:hAnsi="Times New Roman" w:eastAsia="仿宋_GB2312" w:cs="仿宋_GB2312"/>
          <w:color w:val="auto"/>
          <w:kern w:val="0"/>
          <w:sz w:val="21"/>
          <w:szCs w:val="21"/>
          <w:lang w:val="en-US" w:eastAsia="zh-CN" w:bidi="ar"/>
        </w:rPr>
        <w:br w:type="textWrapping"/>
      </w:r>
      <w:r>
        <w:rPr>
          <w:rFonts w:hint="eastAsia" w:ascii="仿宋_GB2312" w:hAnsi="Times New Roman" w:eastAsia="仿宋_GB2312" w:cs="仿宋_GB2312"/>
          <w:color w:val="auto"/>
          <w:kern w:val="0"/>
          <w:sz w:val="21"/>
          <w:szCs w:val="21"/>
          <w:lang w:val="en-US" w:eastAsia="zh-CN" w:bidi="ar"/>
        </w:rPr>
        <w:t>针对医疗机构与公共卫生部门，推出分层订阅服务：</w:t>
      </w:r>
    </w:p>
    <w:p>
      <w:pPr>
        <w:keepNext w:val="0"/>
        <w:keepLines w:val="0"/>
        <w:widowControl w:val="0"/>
        <w:numPr>
          <w:ilvl w:val="0"/>
          <w:numId w:val="40"/>
        </w:numPr>
        <w:suppressLineNumbers w:val="0"/>
        <w:spacing w:before="120" w:beforeAutospacing="0" w:after="120" w:afterAutospacing="0" w:line="288" w:lineRule="auto"/>
        <w:ind w:left="453" w:right="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基础功能免费开放</w:t>
      </w:r>
      <w:r>
        <w:rPr>
          <w:rFonts w:hint="eastAsia" w:ascii="仿宋_GB2312" w:hAnsi="Times New Roman" w:eastAsia="仿宋_GB2312" w:cs="仿宋_GB2312"/>
          <w:color w:val="auto"/>
          <w:kern w:val="0"/>
          <w:sz w:val="21"/>
          <w:szCs w:val="21"/>
          <w:lang w:val="en-US" w:eastAsia="zh-CN" w:bidi="ar"/>
        </w:rPr>
        <w:t>：发热门诊流调系统、疫情热力图生成等核心功能免费部署，快速覆盖基层医院与疾控中心，积累用户信任与使用数据。例如，某市疾控中心在部署基础流调系统后，流调效率提升85%，为后续高级模块的订阅奠定基础。</w:t>
      </w:r>
    </w:p>
    <w:p>
      <w:pPr>
        <w:keepNext w:val="0"/>
        <w:keepLines w:val="0"/>
        <w:widowControl w:val="0"/>
        <w:numPr>
          <w:ilvl w:val="0"/>
          <w:numId w:val="41"/>
        </w:numPr>
        <w:suppressLineNumbers w:val="0"/>
        <w:spacing w:before="120" w:beforeAutospacing="0" w:after="120" w:afterAutospacing="0" w:line="288" w:lineRule="auto"/>
        <w:ind w:left="453" w:leftChars="0" w:right="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高级模块按需订阅</w:t>
      </w:r>
      <w:r>
        <w:rPr>
          <w:rFonts w:hint="eastAsia" w:ascii="仿宋_GB2312" w:hAnsi="Times New Roman" w:eastAsia="仿宋_GB2312" w:cs="仿宋_GB2312"/>
          <w:color w:val="auto"/>
          <w:kern w:val="0"/>
          <w:sz w:val="21"/>
          <w:szCs w:val="21"/>
          <w:lang w:val="en-US" w:eastAsia="zh-CN" w:bidi="ar"/>
        </w:rPr>
        <w:t>：</w:t>
      </w:r>
    </w:p>
    <w:p>
      <w:pPr>
        <w:keepNext w:val="0"/>
        <w:keepLines w:val="0"/>
        <w:widowControl w:val="0"/>
        <w:numPr>
          <w:ilvl w:val="0"/>
          <w:numId w:val="42"/>
        </w:numPr>
        <w:suppressLineNumbers w:val="0"/>
        <w:spacing w:before="120" w:beforeAutospacing="0" w:after="120" w:afterAutospacing="0" w:line="288" w:lineRule="auto"/>
        <w:ind w:left="907"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慢性病管理模块（10元/患者/月）：针对高血压、糖尿病患者，提供动态干预方案（如血糖趋势预测、用药提醒），帮助医院高效管理患者健康数据。</w:t>
      </w:r>
    </w:p>
    <w:p>
      <w:pPr>
        <w:keepNext w:val="0"/>
        <w:keepLines w:val="0"/>
        <w:widowControl w:val="0"/>
        <w:numPr>
          <w:ilvl w:val="0"/>
          <w:numId w:val="43"/>
        </w:numPr>
        <w:suppressLineNumbers w:val="0"/>
        <w:spacing w:before="120" w:beforeAutospacing="0" w:after="120" w:afterAutospacing="0" w:line="288" w:lineRule="auto"/>
        <w:ind w:left="907"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智能分诊系统（5万元/医院/年）：通过AI算法优化急诊资源分配，将候诊时间缩短40%。</w:t>
      </w:r>
    </w:p>
    <w:p>
      <w:pPr>
        <w:keepNext w:val="0"/>
        <w:keepLines w:val="0"/>
        <w:widowControl w:val="0"/>
        <w:numPr>
          <w:ilvl w:val="0"/>
          <w:numId w:val="44"/>
        </w:numPr>
        <w:suppressLineNumbers w:val="0"/>
        <w:spacing w:before="120" w:beforeAutospacing="0" w:after="120" w:afterAutospacing="0" w:line="288" w:lineRule="auto"/>
        <w:ind w:left="907"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灾害医学救援工具包（按事件规模收取5万-50万元/次）：为应急管理部门提供精准的伤员追踪与资源调配支持。</w:t>
      </w:r>
    </w:p>
    <w:p>
      <w:pPr>
        <w:keepNext w:val="0"/>
        <w:keepLines w:val="0"/>
        <w:widowControl w:val="0"/>
        <w:numPr>
          <w:ilvl w:val="0"/>
          <w:numId w:val="45"/>
        </w:numPr>
        <w:suppressLineNumbers w:val="0"/>
        <w:spacing w:before="120" w:beforeAutospacing="0" w:after="120" w:afterAutospacing="0" w:line="288" w:lineRule="auto"/>
        <w:ind w:left="453" w:right="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企业定制化服务</w:t>
      </w:r>
      <w:r>
        <w:rPr>
          <w:rFonts w:hint="eastAsia" w:ascii="仿宋_GB2312" w:hAnsi="Times New Roman" w:eastAsia="仿宋_GB2312" w:cs="仿宋_GB2312"/>
          <w:color w:val="auto"/>
          <w:kern w:val="0"/>
          <w:sz w:val="21"/>
          <w:szCs w:val="21"/>
          <w:lang w:val="en-US" w:eastAsia="zh-CN" w:bidi="ar"/>
        </w:rPr>
        <w:t>：为药企提供区域疾病趋势分析（20万元/年/区域），为保险公司开发健康险精算模型（30万元/合作项目），数据服务毛利率达75%。</w:t>
      </w:r>
    </w:p>
    <w:p>
      <w:pPr>
        <w:pStyle w:val="5"/>
        <w:numPr>
          <w:ilvl w:val="3"/>
          <w:numId w:val="1"/>
        </w:numPr>
        <w:bidi w:val="0"/>
        <w:ind w:left="850" w:leftChars="0" w:hanging="850" w:firstLineChars="0"/>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技术授权与联合开发</w:t>
      </w:r>
      <w:r>
        <w:rPr>
          <w:rFonts w:hint="eastAsia" w:ascii="仿宋_GB2312" w:hAnsi="Times New Roman" w:eastAsia="仿宋_GB2312" w:cs="仿宋_GB2312"/>
          <w:color w:val="auto"/>
          <w:kern w:val="0"/>
          <w:sz w:val="21"/>
          <w:szCs w:val="21"/>
          <w:lang w:val="en-US" w:eastAsia="zh-CN" w:bidi="ar"/>
        </w:rPr>
        <w:br w:type="textWrapping"/>
      </w:r>
      <w:r>
        <w:rPr>
          <w:rFonts w:hint="eastAsia" w:ascii="仿宋_GB2312" w:hAnsi="Times New Roman" w:eastAsia="仿宋_GB2312" w:cs="仿宋_GB2312"/>
          <w:color w:val="auto"/>
          <w:kern w:val="0"/>
          <w:sz w:val="21"/>
          <w:szCs w:val="21"/>
          <w:lang w:val="en-US" w:eastAsia="zh-CN" w:bidi="ar"/>
        </w:rPr>
        <w:t>通过开放核心算法接口，与合作伙伴共建生态：</w:t>
      </w:r>
    </w:p>
    <w:p>
      <w:pPr>
        <w:keepNext w:val="0"/>
        <w:keepLines w:val="0"/>
        <w:widowControl w:val="0"/>
        <w:numPr>
          <w:ilvl w:val="0"/>
          <w:numId w:val="46"/>
        </w:numPr>
        <w:suppressLineNumbers w:val="0"/>
        <w:spacing w:before="120" w:beforeAutospacing="0" w:after="120" w:afterAutospacing="0" w:line="288" w:lineRule="auto"/>
        <w:ind w:left="453" w:right="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License授权收费</w:t>
      </w:r>
      <w:r>
        <w:rPr>
          <w:rFonts w:hint="eastAsia" w:ascii="仿宋_GB2312" w:hAnsi="Times New Roman" w:eastAsia="仿宋_GB2312" w:cs="仿宋_GB2312"/>
          <w:color w:val="auto"/>
          <w:kern w:val="0"/>
          <w:sz w:val="21"/>
          <w:szCs w:val="21"/>
          <w:lang w:val="en-US" w:eastAsia="zh-CN" w:bidi="ar"/>
        </w:rPr>
        <w:t>：向医疗信息化企业（如东软集团、创业慧康）授权动态场景适配引擎，收取一次性技术授权费（50万-200万元）及年度维护费（10%合同额）。</w:t>
      </w:r>
    </w:p>
    <w:p>
      <w:pPr>
        <w:keepNext w:val="0"/>
        <w:keepLines w:val="0"/>
        <w:widowControl w:val="0"/>
        <w:numPr>
          <w:ilvl w:val="0"/>
          <w:numId w:val="47"/>
        </w:numPr>
        <w:suppressLineNumbers w:val="0"/>
        <w:spacing w:before="120" w:beforeAutospacing="0" w:after="120" w:afterAutospacing="0" w:line="288" w:lineRule="auto"/>
        <w:ind w:left="453" w:right="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联合开发分成</w:t>
      </w:r>
      <w:r>
        <w:rPr>
          <w:rFonts w:hint="eastAsia" w:ascii="仿宋_GB2312" w:hAnsi="Times New Roman" w:eastAsia="仿宋_GB2312" w:cs="仿宋_GB2312"/>
          <w:color w:val="auto"/>
          <w:kern w:val="0"/>
          <w:sz w:val="21"/>
          <w:szCs w:val="21"/>
          <w:lang w:val="en-US" w:eastAsia="zh-CN" w:bidi="ar"/>
        </w:rPr>
        <w:t>：与政府合作开发区域传播链可视化平台，按项目收益的15%-20%分成。例如，某省级应急管理平台上线后，年度分成收入达300万元。</w:t>
      </w:r>
    </w:p>
    <w:p>
      <w:pPr>
        <w:keepNext w:val="0"/>
        <w:keepLines w:val="0"/>
        <w:widowControl w:val="0"/>
        <w:numPr>
          <w:ilvl w:val="0"/>
          <w:numId w:val="48"/>
        </w:numPr>
        <w:suppressLineNumbers w:val="0"/>
        <w:spacing w:before="120" w:beforeAutospacing="0" w:after="120" w:afterAutospacing="0" w:line="288" w:lineRule="auto"/>
        <w:ind w:left="453" w:right="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硬件集成收益</w:t>
      </w:r>
      <w:r>
        <w:rPr>
          <w:rFonts w:hint="eastAsia" w:ascii="仿宋_GB2312" w:hAnsi="Times New Roman" w:eastAsia="仿宋_GB2312" w:cs="仿宋_GB2312"/>
          <w:color w:val="auto"/>
          <w:kern w:val="0"/>
          <w:sz w:val="21"/>
          <w:szCs w:val="21"/>
          <w:lang w:val="en-US" w:eastAsia="zh-CN" w:bidi="ar"/>
        </w:rPr>
        <w:t>：与可穿戴设备厂商（如华为、小米）合作，预装健康助手模块，按设备销量收取3元/台分成，预计首年出货量超100万台。</w:t>
      </w:r>
    </w:p>
    <w:p>
      <w:pPr>
        <w:pStyle w:val="5"/>
        <w:numPr>
          <w:ilvl w:val="3"/>
          <w:numId w:val="1"/>
        </w:numPr>
        <w:bidi w:val="0"/>
        <w:ind w:left="850" w:leftChars="0" w:hanging="850" w:firstLineChars="0"/>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数据增值与生态变现</w:t>
      </w:r>
      <w:r>
        <w:rPr>
          <w:rFonts w:hint="eastAsia" w:ascii="仿宋_GB2312" w:hAnsi="Times New Roman" w:eastAsia="仿宋_GB2312" w:cs="仿宋_GB2312"/>
          <w:color w:val="auto"/>
          <w:kern w:val="0"/>
          <w:sz w:val="21"/>
          <w:szCs w:val="21"/>
          <w:lang w:val="en-US" w:eastAsia="zh-CN" w:bidi="ar"/>
        </w:rPr>
        <w:br w:type="textWrapping"/>
      </w:r>
      <w:r>
        <w:rPr>
          <w:rFonts w:hint="eastAsia" w:ascii="仿宋_GB2312" w:hAnsi="Times New Roman" w:eastAsia="仿宋_GB2312" w:cs="仿宋_GB2312"/>
          <w:color w:val="auto"/>
          <w:kern w:val="0"/>
          <w:sz w:val="21"/>
          <w:szCs w:val="21"/>
          <w:lang w:val="en-US" w:eastAsia="zh-CN" w:bidi="ar"/>
        </w:rPr>
        <w:t>基于多模态数据融合能力，挖掘医疗健康数据的深层价值：</w:t>
      </w:r>
    </w:p>
    <w:p>
      <w:pPr>
        <w:keepNext w:val="0"/>
        <w:keepLines w:val="0"/>
        <w:widowControl w:val="0"/>
        <w:numPr>
          <w:ilvl w:val="0"/>
          <w:numId w:val="49"/>
        </w:numPr>
        <w:suppressLineNumbers w:val="0"/>
        <w:spacing w:before="120" w:beforeAutospacing="0" w:after="120" w:afterAutospacing="0" w:line="288" w:lineRule="auto"/>
        <w:ind w:left="453" w:right="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匿名化群体洞察</w:t>
      </w:r>
      <w:r>
        <w:rPr>
          <w:rFonts w:hint="eastAsia" w:ascii="仿宋_GB2312" w:hAnsi="Times New Roman" w:eastAsia="仿宋_GB2312" w:cs="仿宋_GB2312"/>
          <w:color w:val="auto"/>
          <w:kern w:val="0"/>
          <w:sz w:val="21"/>
          <w:szCs w:val="21"/>
          <w:lang w:val="en-US" w:eastAsia="zh-CN" w:bidi="ar"/>
        </w:rPr>
        <w:t>：向药企提供区域用药依从性分析（50万元/年/疾病领域），向科研机构出售脱敏流行病学数据集（10万元/万条）。</w:t>
      </w:r>
    </w:p>
    <w:p>
      <w:pPr>
        <w:keepNext w:val="0"/>
        <w:keepLines w:val="0"/>
        <w:widowControl w:val="0"/>
        <w:numPr>
          <w:ilvl w:val="0"/>
          <w:numId w:val="50"/>
        </w:numPr>
        <w:suppressLineNumbers w:val="0"/>
        <w:spacing w:before="120" w:beforeAutospacing="0" w:after="120" w:afterAutospacing="0" w:line="288" w:lineRule="auto"/>
        <w:ind w:left="453" w:right="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精准营销支持</w:t>
      </w:r>
      <w:r>
        <w:rPr>
          <w:rFonts w:hint="eastAsia" w:ascii="仿宋_GB2312" w:hAnsi="Times New Roman" w:eastAsia="仿宋_GB2312" w:cs="仿宋_GB2312"/>
          <w:color w:val="auto"/>
          <w:kern w:val="0"/>
          <w:sz w:val="21"/>
          <w:szCs w:val="21"/>
          <w:lang w:val="en-US" w:eastAsia="zh-CN" w:bidi="ar"/>
        </w:rPr>
        <w:t>：为健康管理机构提供用户健康画像标签（如“糖尿病高风险人群”），按0.5元/条收费，年度数据服务收入预计超500万元。</w:t>
      </w:r>
    </w:p>
    <w:p>
      <w:pPr>
        <w:keepNext w:val="0"/>
        <w:keepLines w:val="0"/>
        <w:widowControl w:val="0"/>
        <w:numPr>
          <w:ilvl w:val="0"/>
          <w:numId w:val="51"/>
        </w:numPr>
        <w:suppressLineNumbers w:val="0"/>
        <w:spacing w:before="120" w:beforeAutospacing="0" w:after="120" w:afterAutospacing="0" w:line="288" w:lineRule="auto"/>
        <w:ind w:left="453" w:right="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保险科技合作</w:t>
      </w:r>
      <w:r>
        <w:rPr>
          <w:rFonts w:hint="eastAsia" w:ascii="仿宋_GB2312" w:hAnsi="Times New Roman" w:eastAsia="仿宋_GB2312" w:cs="仿宋_GB2312"/>
          <w:color w:val="auto"/>
          <w:kern w:val="0"/>
          <w:sz w:val="21"/>
          <w:szCs w:val="21"/>
          <w:lang w:val="en-US" w:eastAsia="zh-CN" w:bidi="ar"/>
        </w:rPr>
        <w:t>：与平安保险联合开发动态保费模型，基于用户实时健康数据调整费率，收取保费增量的5%作为技术服务费。</w:t>
      </w:r>
    </w:p>
    <w:p>
      <w:pPr>
        <w:pStyle w:val="5"/>
        <w:numPr>
          <w:ilvl w:val="3"/>
          <w:numId w:val="1"/>
        </w:numPr>
        <w:bidi w:val="0"/>
        <w:ind w:left="850" w:leftChars="0" w:hanging="850" w:firstLineChars="0"/>
        <w:rPr>
          <w:rFonts w:hint="eastAsia" w:ascii="仿宋_GB2312" w:hAnsi="Times New Roman" w:eastAsia="仿宋_GB2312" w:cs="仿宋_GB2312"/>
          <w:b/>
          <w:bCs w:val="0"/>
          <w:color w:val="auto"/>
          <w:kern w:val="0"/>
          <w:sz w:val="21"/>
          <w:szCs w:val="21"/>
          <w:lang w:val="en-US" w:eastAsia="zh-CN" w:bidi="ar"/>
        </w:rPr>
      </w:pPr>
      <w:r>
        <w:rPr>
          <w:rFonts w:hint="eastAsia" w:ascii="仿宋_GB2312" w:hAnsi="Times New Roman" w:eastAsia="仿宋_GB2312" w:cs="仿宋_GB2312"/>
          <w:b/>
          <w:bCs w:val="0"/>
          <w:color w:val="auto"/>
          <w:kern w:val="0"/>
          <w:sz w:val="21"/>
          <w:szCs w:val="21"/>
          <w:lang w:val="en-US" w:eastAsia="zh-CN" w:bidi="ar"/>
        </w:rPr>
        <w:t>政府采购与公益基金协同</w:t>
      </w:r>
      <w:r>
        <w:rPr>
          <w:rFonts w:hint="eastAsia" w:ascii="仿宋_GB2312" w:hAnsi="Times New Roman" w:eastAsia="仿宋_GB2312" w:cs="仿宋_GB2312"/>
          <w:b/>
          <w:bCs w:val="0"/>
          <w:color w:val="auto"/>
          <w:kern w:val="0"/>
          <w:sz w:val="21"/>
          <w:szCs w:val="21"/>
          <w:lang w:val="en-US" w:eastAsia="zh-CN" w:bidi="ar"/>
        </w:rPr>
        <w:br w:type="textWrapping"/>
      </w:r>
      <w:r>
        <w:rPr>
          <w:rFonts w:hint="eastAsia" w:ascii="仿宋_GB2312" w:hAnsi="Times New Roman" w:eastAsia="仿宋_GB2312" w:cs="仿宋_GB2312"/>
          <w:b/>
          <w:bCs w:val="0"/>
          <w:color w:val="auto"/>
          <w:kern w:val="0"/>
          <w:sz w:val="21"/>
          <w:szCs w:val="21"/>
          <w:lang w:val="en-US" w:eastAsia="zh-CN" w:bidi="ar"/>
        </w:rPr>
        <w:t>通过公共项目招标与政策补贴，强化项目的可持续性与社会价值：</w:t>
      </w:r>
    </w:p>
    <w:p>
      <w:pPr>
        <w:keepNext w:val="0"/>
        <w:keepLines w:val="0"/>
        <w:widowControl w:val="0"/>
        <w:numPr>
          <w:ilvl w:val="0"/>
          <w:numId w:val="52"/>
        </w:numPr>
        <w:suppressLineNumbers w:val="0"/>
        <w:spacing w:before="120" w:beforeAutospacing="0" w:after="120" w:afterAutospacing="0" w:line="288" w:lineRule="auto"/>
        <w:ind w:left="453" w:right="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智慧城市项目</w:t>
      </w:r>
      <w:r>
        <w:rPr>
          <w:rFonts w:hint="eastAsia" w:ascii="仿宋_GB2312" w:hAnsi="Times New Roman" w:eastAsia="仿宋_GB2312" w:cs="仿宋_GB2312"/>
          <w:color w:val="auto"/>
          <w:kern w:val="0"/>
          <w:sz w:val="21"/>
          <w:szCs w:val="21"/>
          <w:lang w:val="en-US" w:eastAsia="zh-CN" w:bidi="ar"/>
        </w:rPr>
        <w:t>：参与政府“平疫结合”基础设施建设，单个城市项目中标金额约500万-2000万元，涵盖系统部署、数据对接与人员培训。</w:t>
      </w:r>
    </w:p>
    <w:p>
      <w:pPr>
        <w:keepNext w:val="0"/>
        <w:keepLines w:val="0"/>
        <w:widowControl w:val="0"/>
        <w:numPr>
          <w:ilvl w:val="0"/>
          <w:numId w:val="53"/>
        </w:numPr>
        <w:suppressLineNumbers w:val="0"/>
        <w:spacing w:before="120" w:beforeAutospacing="0" w:after="120" w:afterAutospacing="0" w:line="288" w:lineRule="auto"/>
        <w:ind w:left="453" w:right="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公共卫生补贴</w:t>
      </w:r>
      <w:r>
        <w:rPr>
          <w:rFonts w:hint="eastAsia" w:ascii="仿宋_GB2312" w:hAnsi="Times New Roman" w:eastAsia="仿宋_GB2312" w:cs="仿宋_GB2312"/>
          <w:color w:val="auto"/>
          <w:kern w:val="0"/>
          <w:sz w:val="21"/>
          <w:szCs w:val="21"/>
          <w:lang w:val="en-US" w:eastAsia="zh-CN" w:bidi="ar"/>
        </w:rPr>
        <w:t>：申请国家卫健委“AI+医疗”专项补贴，年度补贴额度预计占研发投入的30%。</w:t>
      </w:r>
    </w:p>
    <w:p>
      <w:pPr>
        <w:keepNext w:val="0"/>
        <w:keepLines w:val="0"/>
        <w:widowControl w:val="0"/>
        <w:numPr>
          <w:ilvl w:val="0"/>
          <w:numId w:val="54"/>
        </w:numPr>
        <w:suppressLineNumbers w:val="0"/>
        <w:spacing w:before="120" w:beforeAutospacing="0" w:after="120" w:afterAutospacing="0" w:line="288" w:lineRule="auto"/>
        <w:ind w:left="453" w:right="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国际组织合作</w:t>
      </w:r>
      <w:r>
        <w:rPr>
          <w:rFonts w:hint="eastAsia" w:ascii="仿宋_GB2312" w:hAnsi="Times New Roman" w:eastAsia="仿宋_GB2312" w:cs="仿宋_GB2312"/>
          <w:color w:val="auto"/>
          <w:kern w:val="0"/>
          <w:sz w:val="21"/>
          <w:szCs w:val="21"/>
          <w:lang w:val="en-US" w:eastAsia="zh-CN" w:bidi="ar"/>
        </w:rPr>
        <w:t>：与WHO、盖茨基金会合作推广传染病防控系统，获取技术输出收益与品牌溢价。</w:t>
      </w:r>
    </w:p>
    <w:p>
      <w:pPr>
        <w:pStyle w:val="5"/>
        <w:numPr>
          <w:ilvl w:val="3"/>
          <w:numId w:val="1"/>
        </w:numPr>
        <w:bidi w:val="0"/>
        <w:ind w:left="850" w:leftChars="0" w:hanging="850" w:firstLineChars="0"/>
        <w:rPr>
          <w:rFonts w:hint="eastAsia" w:ascii="仿宋_GB2312" w:eastAsia="仿宋_GB2312" w:cs="仿宋_GB2312"/>
          <w:color w:val="auto"/>
          <w:sz w:val="21"/>
          <w:szCs w:val="21"/>
        </w:rPr>
      </w:pPr>
      <w:r>
        <w:rPr>
          <w:rFonts w:hint="eastAsia" w:ascii="仿宋_GB2312" w:hAnsi="Times New Roman" w:eastAsia="仿宋_GB2312" w:cs="仿宋_GB2312"/>
          <w:b/>
          <w:bCs w:val="0"/>
          <w:snapToGrid/>
          <w:color w:val="auto"/>
          <w:kern w:val="0"/>
          <w:sz w:val="21"/>
          <w:szCs w:val="21"/>
          <w:lang w:val="en-US" w:eastAsia="zh-CN" w:bidi="ar"/>
        </w:rPr>
        <w:t>C端健康服务增值</w:t>
      </w:r>
      <w:r>
        <w:rPr>
          <w:rFonts w:hint="eastAsia" w:ascii="仿宋_GB2312" w:hAnsi="Times New Roman" w:eastAsia="仿宋_GB2312" w:cs="仿宋_GB2312"/>
          <w:b/>
          <w:bCs w:val="0"/>
          <w:snapToGrid/>
          <w:color w:val="auto"/>
          <w:kern w:val="0"/>
          <w:sz w:val="21"/>
          <w:szCs w:val="21"/>
          <w:lang w:val="en-US" w:eastAsia="zh-CN" w:bidi="ar"/>
        </w:rPr>
        <w:br w:type="textWrapping"/>
      </w:r>
      <w:r>
        <w:rPr>
          <w:rFonts w:hint="eastAsia" w:ascii="仿宋_GB2312" w:hAnsi="Times New Roman" w:eastAsia="仿宋_GB2312" w:cs="仿宋_GB2312"/>
          <w:color w:val="auto"/>
          <w:kern w:val="0"/>
          <w:sz w:val="21"/>
          <w:szCs w:val="21"/>
          <w:lang w:val="en-US" w:eastAsia="zh-CN" w:bidi="ar"/>
        </w:rPr>
        <w:t>通过小程序与APP实现用户价值深度挖掘，构建从免费引流到付费转化的盈利闭环：</w:t>
      </w:r>
    </w:p>
    <w:p>
      <w:pPr>
        <w:keepNext w:val="0"/>
        <w:keepLines w:val="0"/>
        <w:widowControl w:val="0"/>
        <w:numPr>
          <w:ilvl w:val="0"/>
          <w:numId w:val="55"/>
        </w:numPr>
        <w:suppressLineNumbers w:val="0"/>
        <w:spacing w:before="120" w:beforeAutospacing="0" w:after="120" w:afterAutospacing="0" w:line="288" w:lineRule="auto"/>
        <w:ind w:left="453" w:right="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健康管家订阅制</w:t>
      </w:r>
      <w:r>
        <w:rPr>
          <w:rFonts w:hint="eastAsia" w:ascii="仿宋_GB2312" w:hAnsi="Times New Roman" w:eastAsia="仿宋_GB2312" w:cs="仿宋_GB2312"/>
          <w:color w:val="auto"/>
          <w:kern w:val="0"/>
          <w:sz w:val="21"/>
          <w:szCs w:val="21"/>
          <w:lang w:val="en-US" w:eastAsia="zh-CN" w:bidi="ar"/>
        </w:rPr>
        <w:t>：基础报告免费，高级功能（如个性化饮食计划、用药提醒）9.9元/月，付费用户转化率15%，首年订阅收入预计突破800万元。</w:t>
      </w:r>
    </w:p>
    <w:p>
      <w:pPr>
        <w:keepNext w:val="0"/>
        <w:keepLines w:val="0"/>
        <w:widowControl w:val="0"/>
        <w:numPr>
          <w:ilvl w:val="0"/>
          <w:numId w:val="56"/>
        </w:numPr>
        <w:suppressLineNumbers w:val="0"/>
        <w:spacing w:before="120" w:beforeAutospacing="0" w:after="120" w:afterAutospacing="0" w:line="288" w:lineRule="auto"/>
        <w:ind w:left="453" w:right="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单次咨询服务</w:t>
      </w:r>
      <w:r>
        <w:rPr>
          <w:rFonts w:hint="eastAsia" w:ascii="仿宋_GB2312" w:hAnsi="Times New Roman" w:eastAsia="仿宋_GB2312" w:cs="仿宋_GB2312"/>
          <w:color w:val="auto"/>
          <w:kern w:val="0"/>
          <w:sz w:val="21"/>
          <w:szCs w:val="21"/>
          <w:lang w:val="en-US" w:eastAsia="zh-CN" w:bidi="ar"/>
        </w:rPr>
        <w:t>：在线问诊直连三甲医院专家，按次收费30元/次，分成比例50%。</w:t>
      </w:r>
    </w:p>
    <w:p>
      <w:pPr>
        <w:keepNext w:val="0"/>
        <w:keepLines w:val="0"/>
        <w:widowControl w:val="0"/>
        <w:numPr>
          <w:ilvl w:val="0"/>
          <w:numId w:val="57"/>
        </w:numPr>
        <w:suppressLineNumbers w:val="0"/>
        <w:spacing w:before="120" w:beforeAutospacing="0" w:after="120" w:afterAutospacing="0" w:line="288" w:lineRule="auto"/>
        <w:ind w:left="453" w:right="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健康产品电商</w:t>
      </w:r>
      <w:r>
        <w:rPr>
          <w:rFonts w:hint="eastAsia" w:ascii="仿宋_GB2312" w:hAnsi="Times New Roman" w:eastAsia="仿宋_GB2312" w:cs="仿宋_GB2312"/>
          <w:color w:val="auto"/>
          <w:kern w:val="0"/>
          <w:sz w:val="21"/>
          <w:szCs w:val="21"/>
          <w:lang w:val="en-US" w:eastAsia="zh-CN" w:bidi="ar"/>
        </w:rPr>
        <w:t>：基于用户健康画像推荐营养补剂、智能设备，收取15%-20%销售佣金，年度电商GMV目标1亿元。</w:t>
      </w:r>
    </w:p>
    <w:p>
      <w:pPr>
        <w:pStyle w:val="4"/>
        <w:bidi w:val="0"/>
        <w:rPr>
          <w:rFonts w:hint="eastAsia"/>
        </w:rPr>
      </w:pPr>
      <w:bookmarkStart w:id="97" w:name="_Toc9499"/>
      <w:bookmarkStart w:id="98" w:name="heading_36"/>
      <w:r>
        <w:rPr>
          <w:rFonts w:hint="eastAsia"/>
          <w:lang w:val="en-US" w:eastAsia="zh-CN"/>
        </w:rPr>
        <w:t>成本控制与收益放大</w:t>
      </w:r>
      <w:bookmarkEnd w:id="97"/>
      <w:bookmarkEnd w:id="98"/>
    </w:p>
    <w:p>
      <w:pPr>
        <w:bidi w:val="0"/>
        <w:rPr>
          <w:rFonts w:hint="eastAsia"/>
          <w:sz w:val="21"/>
          <w:szCs w:val="21"/>
        </w:rPr>
      </w:pPr>
      <w:r>
        <w:rPr>
          <w:rFonts w:hint="eastAsia"/>
          <w:sz w:val="21"/>
          <w:szCs w:val="21"/>
          <w:lang w:val="en-US" w:eastAsia="zh-CN"/>
        </w:rPr>
        <w:t>成本控制与收益放大通过技术创新实现双向突破。系统采用边缘计算与轻量化部署，基层医疗机构硬件投入降低60%；联邦学习框架确保数据本地化处理，避免云端算力依赖，使B端服务毛利率提升至70%以上。同时，闭环反馈机制持续优化模型性能，流调效率每季度提升8%-12%，进一步压缩运营成本。这种“技术降本-数据增值-场景扩展”的循环，使项目在上市首年即实现盈亏平衡，三年内预期营收突破5亿元，成为AI医疗领域“公益筑基、商业反哺”的标杆范式。</w:t>
      </w:r>
    </w:p>
    <w:p>
      <w:pPr>
        <w:pStyle w:val="4"/>
        <w:bidi w:val="0"/>
        <w:rPr>
          <w:rFonts w:hint="eastAsia"/>
        </w:rPr>
      </w:pPr>
      <w:bookmarkStart w:id="99" w:name="heading_37"/>
      <w:bookmarkStart w:id="100" w:name="_Toc27166"/>
      <w:r>
        <w:rPr>
          <w:rFonts w:hint="eastAsia"/>
          <w:lang w:val="en-US" w:eastAsia="zh-CN"/>
        </w:rPr>
        <w:t>收入结构优化与财务健康度</w:t>
      </w:r>
      <w:bookmarkEnd w:id="99"/>
      <w:bookmarkEnd w:id="100"/>
    </w:p>
    <w:p>
      <w:pPr>
        <w:bidi w:val="0"/>
        <w:rPr>
          <w:rFonts w:hint="eastAsia"/>
          <w:sz w:val="21"/>
          <w:szCs w:val="21"/>
        </w:rPr>
      </w:pPr>
      <w:r>
        <w:rPr>
          <w:rFonts w:hint="eastAsia"/>
          <w:sz w:val="21"/>
          <w:szCs w:val="21"/>
          <w:lang w:val="en-US" w:eastAsia="zh-CN"/>
        </w:rPr>
        <w:t>通过上述盈利模式，项目预计在三年内实现收入结构优化：政府与医疗机构订阅收入占比40%，数据增值服务占比30%，技术授权与硬件分成占比20%，C端服务占比10%。这种“技术驱动-数据闭环-生态协同”的盈利体系，既保障了项目的财务健康度，又通过跨场景延展强化了商业护城河，为AI医疗领域的规模化落地提供了可复制的标杆范式。</w:t>
      </w:r>
    </w:p>
    <w:p>
      <w:pPr>
        <w:keepNext w:val="0"/>
        <w:keepLines w:val="0"/>
        <w:widowControl w:val="0"/>
        <w:suppressLineNumbers w:val="0"/>
        <w:spacing w:before="120" w:beforeAutospacing="0" w:after="120" w:afterAutospacing="0" w:line="288" w:lineRule="auto"/>
        <w:ind w:left="0" w:right="0" w:firstLine="420"/>
        <w:jc w:val="left"/>
        <w:rPr>
          <w:rFonts w:hint="eastAsia" w:ascii="仿宋_GB2312" w:eastAsia="仿宋_GB2312" w:cs="仿宋_GB2312"/>
          <w:color w:val="auto"/>
          <w:sz w:val="21"/>
          <w:szCs w:val="21"/>
        </w:rPr>
      </w:pPr>
      <w:r>
        <w:rPr>
          <w:rFonts w:hint="eastAsia" w:ascii="仿宋" w:hAnsi="仿宋" w:eastAsia="仿宋" w:cs="仿宋"/>
          <w:color w:val="auto"/>
          <w:kern w:val="0"/>
          <w:sz w:val="21"/>
          <w:szCs w:val="21"/>
          <w:lang w:val="en-US" w:eastAsia="zh-CN" w:bidi="ar"/>
        </w:rPr>
        <w:t>HEALINK</w:t>
      </w:r>
      <w:r>
        <w:rPr>
          <w:rFonts w:hint="eastAsia" w:ascii="仿宋_GB2312" w:hAnsi="Times New Roman" w:eastAsia="仿宋_GB2312" w:cs="仿宋_GB2312"/>
          <w:color w:val="auto"/>
          <w:kern w:val="0"/>
          <w:sz w:val="21"/>
          <w:szCs w:val="21"/>
          <w:lang w:val="en-US" w:eastAsia="zh-CN" w:bidi="ar"/>
        </w:rPr>
        <w:t>项目采用“公益筑基、商业延展”的双轨模式，通过技术普惠与价值闭环设计，构建“公共服务-数据增值-生态扩展”的可持续盈利体系。系统以发热门诊流调为切入点，通过政府合作夯实公益基础，逐步向健康管理、慢性病服务等高附加值场景延伸，形成社会价值与商业收益的协同增长。</w:t>
      </w:r>
    </w:p>
    <w:p>
      <w:pPr>
        <w:keepNext w:val="0"/>
        <w:keepLines w:val="0"/>
        <w:widowControl w:val="0"/>
        <w:suppressLineNumbers w:val="0"/>
        <w:spacing w:before="120" w:beforeAutospacing="0" w:after="120" w:afterAutospacing="0" w:line="288" w:lineRule="auto"/>
        <w:ind w:left="0" w:right="0" w:firstLine="42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在公益层面，项目优先赋能公共卫生体系，为疾控中心、基层医疗机构提供免费或低成本的智能流调服务。通过实时数据采集与热力图预警功能，系统帮助政府快速响应区域性疫情（如学校流感聚集性爆发），显著降低防控成本。例如，某市部署系统后，密接者排查时间从48小时缩短至1.5小时，疫情扩散风险降低60%，此类成功案例为项目积累了权威背书与用户信任。公益服务不仅验证了技术方案的可靠性，更沉淀了海量流行病学数据与多模态健康信息，为商业化模块开发提供核心数据支撑。</w:t>
      </w:r>
    </w:p>
    <w:p>
      <w:pPr>
        <w:keepNext w:val="0"/>
        <w:keepLines w:val="0"/>
        <w:widowControl w:val="0"/>
        <w:suppressLineNumbers w:val="0"/>
        <w:spacing w:before="120" w:beforeAutospacing="0" w:after="120" w:afterAutospacing="0" w:line="288" w:lineRule="auto"/>
        <w:ind w:left="0" w:right="0" w:firstLine="42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商业变现路径围绕“B端效能提升+C端健康服务”展开。面向医疗机构，推出订阅制流调系统License服务：基础功能免费开放，高级模块（如慢性病管理、心理疏导）按需订阅定价。例如，三甲医院可采购智能分诊模块，将急诊科候诊时间缩短40%，单家医院年付费可达百万元级。针对药企与保险公司，系统通过联邦学习技术输出匿名化群体健康洞察（如区域用药依从性分析、疾病趋势预测），支撑精准营销与保险精算，单客户年服务费超千万元。</w:t>
      </w:r>
    </w:p>
    <w:p>
      <w:pPr>
        <w:keepNext w:val="0"/>
        <w:keepLines w:val="0"/>
        <w:widowControl w:val="0"/>
        <w:suppressLineNumbers w:val="0"/>
        <w:spacing w:before="120" w:beforeAutospacing="0" w:after="120" w:afterAutospacing="0" w:line="288" w:lineRule="auto"/>
        <w:ind w:left="0" w:right="0" w:firstLine="42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在C端市场，健康助手小程序通过“免费引流+订阅转化”实现用户价值挖掘。用户可免费获取基础健康报告与疫情热力图，付费解锁个性化服务（9.9元/月）：慢性病患者获得动态饮食计划与用药提醒，亚健康人群获取心理疏导课程，家长订阅儿童传染病防护指南。此外，系统通过模块化设计扩展至灾害医学等场景，例如为应急管理部门提供伤员智能分诊服务，单项目部署费用可超五百万元，实现“一次研发、多域复用”的边际成本优势。</w:t>
      </w:r>
    </w:p>
    <w:p>
      <w:pPr>
        <w:keepNext w:val="0"/>
        <w:keepLines w:val="0"/>
        <w:widowControl w:val="0"/>
        <w:suppressLineNumbers w:val="0"/>
        <w:spacing w:before="120" w:beforeAutospacing="0" w:after="120" w:afterAutospacing="0" w:line="288" w:lineRule="auto"/>
        <w:ind w:left="0" w:right="0" w:firstLine="42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成本控制与收益放大通过技术创新实现双向突破。系统采用边缘计算与轻量化部署，基层医疗机构硬件投入降低60%；联邦学习框架确保数据本地化处理，避免云端算力依赖，使B端服务毛利率提升至70%以上。同时，闭环反馈机制持续优化模型性能，流调效率每季度提升8%-12%，进一步压缩运营成本。这种“技术降本-数据增值-场景扩展”的循环，使项目在上市首年即实现盈亏平衡，三年内预期营收突破5亿元，成为AI医疗领域“公益筑基、商业反哺”的标杆范式。</w:t>
      </w:r>
    </w:p>
    <w:p>
      <w:pPr>
        <w:pStyle w:val="2"/>
        <w:bidi w:val="0"/>
        <w:rPr>
          <w:rFonts w:hint="eastAsia"/>
        </w:rPr>
      </w:pPr>
      <w:bookmarkStart w:id="101" w:name="_Toc7749"/>
      <w:bookmarkStart w:id="102" w:name="heading_67"/>
      <w:r>
        <w:rPr>
          <w:rFonts w:hint="eastAsia"/>
          <w:lang w:val="en-US" w:eastAsia="zh-CN"/>
        </w:rPr>
        <w:t>盈利预测与市场潜力</w:t>
      </w:r>
      <w:bookmarkEnd w:id="101"/>
      <w:bookmarkEnd w:id="102"/>
    </w:p>
    <w:p>
      <w:pPr>
        <w:pStyle w:val="3"/>
        <w:bidi w:val="0"/>
        <w:rPr>
          <w:rFonts w:hint="eastAsia"/>
          <w:sz w:val="21"/>
          <w:szCs w:val="21"/>
        </w:rPr>
      </w:pPr>
      <w:bookmarkStart w:id="103" w:name="_Toc15086"/>
      <w:bookmarkStart w:id="104" w:name="heading_68"/>
      <w:r>
        <w:rPr>
          <w:rFonts w:hint="eastAsia"/>
          <w:sz w:val="21"/>
          <w:szCs w:val="21"/>
          <w:lang w:val="en-US" w:eastAsia="zh-CN"/>
        </w:rPr>
        <w:t>市场空间与增长逻辑</w:t>
      </w:r>
      <w:bookmarkEnd w:id="103"/>
      <w:bookmarkEnd w:id="104"/>
    </w:p>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全球AI医疗市场规模预计至2031年将达172亿美元，年复合增长率（CAGR）达32.6%，其增长动能源于政策、技术与需求的三重驱动：</w:t>
      </w:r>
    </w:p>
    <w:p>
      <w:pPr>
        <w:keepNext w:val="0"/>
        <w:keepLines w:val="0"/>
        <w:widowControl w:val="0"/>
        <w:numPr>
          <w:ilvl w:val="0"/>
          <w:numId w:val="58"/>
        </w:numPr>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政策红利</w:t>
      </w:r>
      <w:r>
        <w:rPr>
          <w:rFonts w:hint="eastAsia" w:ascii="仿宋_GB2312" w:hAnsi="Times New Roman" w:eastAsia="仿宋_GB2312" w:cs="仿宋_GB2312"/>
          <w:color w:val="auto"/>
          <w:kern w:val="0"/>
          <w:sz w:val="21"/>
          <w:szCs w:val="21"/>
          <w:lang w:val="en-US" w:eastAsia="zh-CN" w:bidi="ar"/>
        </w:rPr>
        <w:t>：国家卫健委加速基层流调系统智能化改造，推动2025年国内公共卫生数字化市场规模突破200亿元；</w:t>
      </w:r>
    </w:p>
    <w:p>
      <w:pPr>
        <w:keepNext w:val="0"/>
        <w:keepLines w:val="0"/>
        <w:widowControl w:val="0"/>
        <w:numPr>
          <w:ilvl w:val="0"/>
          <w:numId w:val="59"/>
        </w:numPr>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技术渗透</w:t>
      </w:r>
      <w:r>
        <w:rPr>
          <w:rFonts w:hint="eastAsia" w:ascii="仿宋_GB2312" w:hAnsi="Times New Roman" w:eastAsia="仿宋_GB2312" w:cs="仿宋_GB2312"/>
          <w:color w:val="auto"/>
          <w:kern w:val="0"/>
          <w:sz w:val="21"/>
          <w:szCs w:val="21"/>
          <w:lang w:val="en-US" w:eastAsia="zh-CN" w:bidi="ar"/>
        </w:rPr>
        <w:t>：开源大模型（如DeepSeek）显著降低AI部署成本，基层医疗机构渗透率有望从15%提升至60%，边际成本优势驱动规模化落地；</w:t>
      </w:r>
    </w:p>
    <w:p>
      <w:pPr>
        <w:keepNext w:val="0"/>
        <w:keepLines w:val="0"/>
        <w:widowControl w:val="0"/>
        <w:numPr>
          <w:ilvl w:val="0"/>
          <w:numId w:val="60"/>
        </w:numPr>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用户需求</w:t>
      </w:r>
      <w:r>
        <w:rPr>
          <w:rFonts w:hint="eastAsia" w:ascii="仿宋_GB2312" w:hAnsi="Times New Roman" w:eastAsia="仿宋_GB2312" w:cs="仿宋_GB2312"/>
          <w:color w:val="auto"/>
          <w:kern w:val="0"/>
          <w:sz w:val="21"/>
          <w:szCs w:val="21"/>
          <w:lang w:val="en-US" w:eastAsia="zh-CN" w:bidi="ar"/>
        </w:rPr>
        <w:t>：慢性病管理、心理健康等C端服务需求激增，健康管家订阅用户年增速预计超50%，形成从“被动医疗”到“主动健康管理”的消费升级趋势。</w:t>
      </w:r>
    </w:p>
    <w:p>
      <w:pPr>
        <w:pStyle w:val="3"/>
        <w:bidi w:val="0"/>
        <w:rPr>
          <w:rFonts w:hint="eastAsia"/>
          <w:sz w:val="21"/>
          <w:szCs w:val="21"/>
        </w:rPr>
      </w:pPr>
      <w:bookmarkStart w:id="105" w:name="heading_69"/>
      <w:bookmarkStart w:id="106" w:name="_Toc12683"/>
      <w:r>
        <w:rPr>
          <w:rFonts w:hint="eastAsia"/>
          <w:sz w:val="21"/>
          <w:szCs w:val="21"/>
          <w:lang w:val="en-US" w:eastAsia="zh-CN"/>
        </w:rPr>
        <w:t>盈利模型与估值预期</w:t>
      </w:r>
      <w:bookmarkEnd w:id="105"/>
      <w:bookmarkEnd w:id="106"/>
    </w:p>
    <w:p>
      <w:pPr>
        <w:bidi w:val="0"/>
        <w:rPr>
          <w:rFonts w:hint="eastAsia"/>
          <w:sz w:val="21"/>
          <w:szCs w:val="21"/>
        </w:rPr>
      </w:pPr>
      <w:r>
        <w:rPr>
          <w:rFonts w:hint="eastAsia"/>
          <w:sz w:val="21"/>
          <w:szCs w:val="21"/>
          <w:lang w:val="en-US" w:eastAsia="zh-CN"/>
        </w:rPr>
        <w:t>项目采用“B端服务订阅+C端增值+数据服务分成”的多元收入结构，预计三年内实现收入结构优化与规模化增长：</w:t>
      </w:r>
    </w:p>
    <w:p>
      <w:pPr>
        <w:keepNext w:val="0"/>
        <w:keepLines w:val="0"/>
        <w:widowControl w:val="0"/>
        <w:numPr>
          <w:ilvl w:val="0"/>
          <w:numId w:val="61"/>
        </w:numPr>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B端收入</w:t>
      </w:r>
      <w:r>
        <w:rPr>
          <w:rFonts w:hint="eastAsia" w:ascii="仿宋_GB2312" w:hAnsi="Times New Roman" w:eastAsia="仿宋_GB2312" w:cs="仿宋_GB2312"/>
          <w:color w:val="auto"/>
          <w:kern w:val="0"/>
          <w:sz w:val="21"/>
          <w:szCs w:val="21"/>
          <w:lang w:val="en-US" w:eastAsia="zh-CN" w:bidi="ar"/>
        </w:rPr>
        <w:t>：覆盖3000家医疗机构，单院年订阅费5万-20万元（按模块功能分级），贡献营收占比45%；</w:t>
      </w:r>
    </w:p>
    <w:p>
      <w:pPr>
        <w:keepNext w:val="0"/>
        <w:keepLines w:val="0"/>
        <w:widowControl w:val="0"/>
        <w:numPr>
          <w:ilvl w:val="0"/>
          <w:numId w:val="62"/>
        </w:numPr>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C端收入</w:t>
      </w:r>
      <w:r>
        <w:rPr>
          <w:rFonts w:hint="eastAsia" w:ascii="仿宋_GB2312" w:hAnsi="Times New Roman" w:eastAsia="仿宋_GB2312" w:cs="仿宋_GB2312"/>
          <w:color w:val="auto"/>
          <w:kern w:val="0"/>
          <w:sz w:val="21"/>
          <w:szCs w:val="21"/>
          <w:lang w:val="en-US" w:eastAsia="zh-CN" w:bidi="ar"/>
        </w:rPr>
        <w:t>：健康管家用户突破800万，用户年均付费（ARPU）120元/年，收入占比35%；</w:t>
      </w:r>
    </w:p>
    <w:p>
      <w:pPr>
        <w:keepNext w:val="0"/>
        <w:keepLines w:val="0"/>
        <w:widowControl w:val="0"/>
        <w:numPr>
          <w:ilvl w:val="0"/>
          <w:numId w:val="63"/>
        </w:numPr>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数据服务</w:t>
      </w:r>
      <w:r>
        <w:rPr>
          <w:rFonts w:hint="eastAsia" w:ascii="仿宋_GB2312" w:hAnsi="Times New Roman" w:eastAsia="仿宋_GB2312" w:cs="仿宋_GB2312"/>
          <w:color w:val="auto"/>
          <w:kern w:val="0"/>
          <w:sz w:val="21"/>
          <w:szCs w:val="21"/>
          <w:lang w:val="en-US" w:eastAsia="zh-CN" w:bidi="ar"/>
        </w:rPr>
        <w:t>：药企合作分成、保险精算模型授权等年收入超1.5亿元，占比20%。</w:t>
      </w:r>
    </w:p>
    <w:p>
      <w:pPr>
        <w:keepNext w:val="0"/>
        <w:keepLines w:val="0"/>
        <w:widowControl w:val="0"/>
        <w:suppressLineNumbers w:val="0"/>
        <w:spacing w:before="120" w:beforeAutospacing="0" w:after="120" w:afterAutospacing="0" w:line="288" w:lineRule="auto"/>
        <w:ind w:left="0" w:right="0"/>
        <w:jc w:val="left"/>
        <w:rPr>
          <w:rFonts w:hint="eastAsia" w:ascii="仿宋_GB2312" w:hAnsi="Times New Roman" w:eastAsia="仿宋_GB2312" w:cs="仿宋_GB2312"/>
          <w:color w:val="auto"/>
          <w:kern w:val="0"/>
          <w:sz w:val="21"/>
          <w:szCs w:val="21"/>
          <w:lang w:val="en-US" w:eastAsia="zh-CN" w:bidi="ar"/>
        </w:rPr>
      </w:pPr>
      <w:r>
        <w:rPr>
          <w:rFonts w:hint="eastAsia" w:ascii="仿宋_GB2312" w:hAnsi="Times New Roman" w:eastAsia="仿宋_GB2312" w:cs="仿宋_GB2312"/>
          <w:color w:val="auto"/>
          <w:kern w:val="0"/>
          <w:sz w:val="21"/>
          <w:szCs w:val="21"/>
          <w:lang w:val="en-US" w:eastAsia="zh-CN" w:bidi="ar"/>
        </w:rPr>
        <w:t>基于现金流折现（DCF）模型测算，项目稳态期营收规模达12亿元，净利润率25%，对应估值50亿元（按PE 30倍计算）。这一估值逻辑既体现了AI医疗行业的高增长溢价，也反映了项目在技术壁垒与生态协同上的差异化优势。</w:t>
      </w:r>
    </w:p>
    <w:p>
      <w:pPr>
        <w:pStyle w:val="2"/>
        <w:bidi w:val="0"/>
        <w:rPr>
          <w:rFonts w:hint="eastAsia"/>
        </w:rPr>
      </w:pPr>
      <w:bookmarkStart w:id="107" w:name="_Toc16409"/>
      <w:r>
        <w:rPr>
          <w:rFonts w:hint="eastAsia"/>
          <w:lang w:val="en-US" w:eastAsia="zh-CN"/>
        </w:rPr>
        <w:t>风险控制</w:t>
      </w:r>
      <w:bookmarkEnd w:id="107"/>
    </w:p>
    <w:p>
      <w:pPr>
        <w:bidi w:val="0"/>
        <w:rPr>
          <w:rFonts w:hint="eastAsia"/>
          <w:sz w:val="21"/>
          <w:szCs w:val="21"/>
          <w:lang w:val="en-US" w:eastAsia="zh-CN"/>
        </w:rPr>
      </w:pPr>
      <w:r>
        <w:rPr>
          <w:rFonts w:hint="eastAsia" w:ascii="仿宋" w:hAnsi="仿宋" w:eastAsia="仿宋" w:cs="仿宋"/>
          <w:sz w:val="21"/>
          <w:szCs w:val="21"/>
          <w:lang w:val="en-US" w:eastAsia="zh-CN"/>
        </w:rPr>
        <w:t>HEALINK</w:t>
      </w:r>
      <w:r>
        <w:rPr>
          <w:rFonts w:hint="eastAsia"/>
          <w:sz w:val="21"/>
          <w:szCs w:val="21"/>
          <w:lang w:val="en-US" w:eastAsia="zh-CN"/>
        </w:rPr>
        <w:t>项目以“技术驱动+生态协同”为核心战略，在快速推进商业化落地的同时，需系统性评估潜在风险并制定应对策略，确保项目可持续性与社会价值最大化。</w:t>
      </w:r>
    </w:p>
    <w:p>
      <w:pPr>
        <w:pStyle w:val="3"/>
        <w:bidi w:val="0"/>
        <w:rPr>
          <w:rFonts w:hint="eastAsia"/>
          <w:sz w:val="21"/>
          <w:szCs w:val="21"/>
        </w:rPr>
      </w:pPr>
      <w:bookmarkStart w:id="108" w:name="heading_70"/>
      <w:bookmarkStart w:id="109" w:name="_Toc29867"/>
      <w:r>
        <w:rPr>
          <w:rFonts w:hint="eastAsia"/>
          <w:sz w:val="21"/>
          <w:szCs w:val="21"/>
          <w:lang w:val="en-US" w:eastAsia="zh-CN"/>
        </w:rPr>
        <w:t>核心风险</w:t>
      </w:r>
      <w:bookmarkEnd w:id="108"/>
      <w:bookmarkEnd w:id="109"/>
    </w:p>
    <w:p>
      <w:pPr>
        <w:bidi w:val="0"/>
        <w:rPr>
          <w:rFonts w:hint="eastAsia"/>
          <w:sz w:val="21"/>
          <w:szCs w:val="21"/>
        </w:rPr>
      </w:pPr>
      <w:r>
        <w:rPr>
          <w:rFonts w:hint="eastAsia"/>
          <w:sz w:val="21"/>
          <w:szCs w:val="21"/>
          <w:lang w:val="en-US" w:eastAsia="zh-CN"/>
        </w:rPr>
        <w:t>尽管市场前景广阔，项目仍需应对技术、市场与合规领域的潜在挑战：</w:t>
      </w:r>
    </w:p>
    <w:p>
      <w:pPr>
        <w:pStyle w:val="4"/>
        <w:bidi w:val="0"/>
        <w:rPr>
          <w:rFonts w:hint="eastAsia" w:ascii="仿宋_GB2312" w:eastAsia="仿宋_GB2312" w:cs="仿宋_GB2312"/>
          <w:color w:val="auto"/>
          <w:sz w:val="21"/>
          <w:szCs w:val="21"/>
        </w:rPr>
      </w:pPr>
      <w:bookmarkStart w:id="110" w:name="_Toc20469"/>
      <w:r>
        <w:rPr>
          <w:rFonts w:hint="eastAsia" w:ascii="仿宋_GB2312" w:hAnsi="Times New Roman" w:eastAsia="仿宋_GB2312" w:cs="仿宋_GB2312"/>
          <w:b/>
          <w:bCs w:val="0"/>
          <w:color w:val="auto"/>
          <w:kern w:val="0"/>
          <w:sz w:val="21"/>
          <w:szCs w:val="21"/>
          <w:lang w:val="en-US" w:eastAsia="zh-CN" w:bidi="ar"/>
        </w:rPr>
        <w:t>技术风险</w:t>
      </w:r>
      <w:bookmarkEnd w:id="110"/>
    </w:p>
    <w:p>
      <w:pPr>
        <w:bidi w:val="0"/>
        <w:rPr>
          <w:rFonts w:hint="eastAsia"/>
          <w:sz w:val="21"/>
          <w:szCs w:val="21"/>
        </w:rPr>
      </w:pPr>
      <w:r>
        <w:rPr>
          <w:rFonts w:hint="eastAsia"/>
          <w:sz w:val="21"/>
          <w:szCs w:val="21"/>
          <w:lang w:val="en-US" w:eastAsia="zh-CN"/>
        </w:rPr>
        <w:t>动态问答引擎推理耗时超500ms可能影响高并发场景用户体验；医疗机构数据格式异构性（如HIS系统差异）导致跨机构建模效率低下；敏感信息动态掩码覆盖率不足95%存在泄露隐患。</w:t>
      </w:r>
    </w:p>
    <w:p>
      <w:pPr>
        <w:pStyle w:val="4"/>
        <w:bidi w:val="0"/>
        <w:rPr>
          <w:rFonts w:hint="eastAsia" w:ascii="仿宋_GB2312" w:eastAsia="仿宋_GB2312" w:cs="仿宋_GB2312"/>
          <w:color w:val="auto"/>
          <w:sz w:val="21"/>
          <w:szCs w:val="21"/>
        </w:rPr>
      </w:pPr>
      <w:bookmarkStart w:id="111" w:name="_Toc17926"/>
      <w:r>
        <w:rPr>
          <w:rFonts w:hint="eastAsia" w:ascii="仿宋_GB2312" w:hAnsi="Times New Roman" w:eastAsia="仿宋_GB2312" w:cs="仿宋_GB2312"/>
          <w:b/>
          <w:bCs w:val="0"/>
          <w:color w:val="auto"/>
          <w:kern w:val="0"/>
          <w:sz w:val="21"/>
          <w:szCs w:val="21"/>
          <w:lang w:val="en-US" w:eastAsia="zh-CN" w:bidi="ar"/>
        </w:rPr>
        <w:t>市场风险</w:t>
      </w:r>
      <w:bookmarkEnd w:id="111"/>
    </w:p>
    <w:p>
      <w:pPr>
        <w:bidi w:val="0"/>
        <w:rPr>
          <w:rFonts w:hint="eastAsia"/>
          <w:sz w:val="21"/>
          <w:szCs w:val="21"/>
        </w:rPr>
      </w:pPr>
      <w:r>
        <w:rPr>
          <w:rFonts w:hint="eastAsia"/>
          <w:sz w:val="21"/>
          <w:szCs w:val="21"/>
          <w:lang w:val="en-US" w:eastAsia="zh-CN"/>
        </w:rPr>
        <w:t>基层医院预算受限导致B端订阅率低于预期；老年群体对AI交互接受度仅38%，C端付费转化率承压；头部厂商（如科大讯飞）加速下沉引发价格竞争。</w:t>
      </w:r>
    </w:p>
    <w:p>
      <w:pPr>
        <w:pStyle w:val="4"/>
        <w:bidi w:val="0"/>
        <w:rPr>
          <w:rFonts w:hint="eastAsia" w:ascii="仿宋_GB2312" w:eastAsia="仿宋_GB2312" w:cs="仿宋_GB2312"/>
          <w:color w:val="auto"/>
          <w:sz w:val="21"/>
          <w:szCs w:val="21"/>
        </w:rPr>
      </w:pPr>
      <w:bookmarkStart w:id="112" w:name="_Toc13107"/>
      <w:r>
        <w:rPr>
          <w:rFonts w:hint="eastAsia" w:ascii="仿宋_GB2312" w:hAnsi="Times New Roman" w:eastAsia="仿宋_GB2312" w:cs="仿宋_GB2312"/>
          <w:b/>
          <w:bCs w:val="0"/>
          <w:color w:val="auto"/>
          <w:kern w:val="0"/>
          <w:sz w:val="21"/>
          <w:szCs w:val="21"/>
          <w:lang w:val="en-US" w:eastAsia="zh-CN" w:bidi="ar"/>
        </w:rPr>
        <w:t>合规与政策风险</w:t>
      </w:r>
      <w:bookmarkEnd w:id="112"/>
    </w:p>
    <w:p>
      <w:pPr>
        <w:bidi w:val="0"/>
        <w:rPr>
          <w:rFonts w:hint="eastAsia"/>
          <w:sz w:val="21"/>
          <w:szCs w:val="21"/>
        </w:rPr>
      </w:pPr>
      <w:r>
        <w:rPr>
          <w:rFonts w:hint="eastAsia"/>
          <w:sz w:val="21"/>
          <w:szCs w:val="21"/>
          <w:lang w:val="en-US" w:eastAsia="zh-CN"/>
        </w:rPr>
        <w:t>跨境数据传输或触发GDPR罚款（最高2000万欧元）；医疗AI产品审批周期长达18个月延误商业化节奏；AI健康建议误诊率超1.5%或引发法律纠纷。</w:t>
      </w:r>
    </w:p>
    <w:p>
      <w:pPr>
        <w:pStyle w:val="3"/>
        <w:bidi w:val="0"/>
        <w:rPr>
          <w:rFonts w:hint="eastAsia"/>
          <w:sz w:val="21"/>
          <w:szCs w:val="21"/>
        </w:rPr>
      </w:pPr>
      <w:bookmarkStart w:id="113" w:name="_Toc2047"/>
      <w:bookmarkStart w:id="114" w:name="heading_73"/>
      <w:r>
        <w:rPr>
          <w:rFonts w:hint="eastAsia"/>
          <w:sz w:val="21"/>
          <w:szCs w:val="21"/>
          <w:lang w:val="en-US" w:eastAsia="zh-CN"/>
        </w:rPr>
        <w:t>风险化解手段</w:t>
      </w:r>
      <w:bookmarkEnd w:id="113"/>
      <w:bookmarkEnd w:id="114"/>
    </w:p>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 w:hAnsi="仿宋" w:eastAsia="仿宋" w:cs="仿宋"/>
          <w:color w:val="auto"/>
          <w:kern w:val="0"/>
          <w:sz w:val="21"/>
          <w:szCs w:val="21"/>
          <w:lang w:val="en-US" w:eastAsia="zh-CN" w:bidi="ar"/>
        </w:rPr>
        <w:t>HEALINK</w:t>
      </w:r>
      <w:r>
        <w:rPr>
          <w:rFonts w:hint="eastAsia" w:ascii="仿宋_GB2312" w:hAnsi="Times New Roman" w:eastAsia="仿宋_GB2312" w:cs="仿宋_GB2312"/>
          <w:color w:val="auto"/>
          <w:kern w:val="0"/>
          <w:sz w:val="21"/>
          <w:szCs w:val="21"/>
          <w:lang w:val="en-US" w:eastAsia="zh-CN" w:bidi="ar"/>
        </w:rPr>
        <w:t>项目以“技术驱动+生态协同”为核心战略，针对技术、市场与合规领域的潜在风险，构建了系统性风险化解体系，通过技术创新、策略优化与制度保障，确保项目的可持续性与社会价值最大化。</w:t>
      </w:r>
    </w:p>
    <w:p>
      <w:pPr>
        <w:pStyle w:val="4"/>
        <w:bidi w:val="0"/>
        <w:rPr>
          <w:rFonts w:hint="eastAsia"/>
          <w:sz w:val="21"/>
          <w:szCs w:val="21"/>
        </w:rPr>
      </w:pPr>
      <w:bookmarkStart w:id="115" w:name="_Toc21849"/>
      <w:bookmarkStart w:id="116" w:name="heading_74"/>
      <w:r>
        <w:rPr>
          <w:rFonts w:hint="eastAsia"/>
          <w:sz w:val="21"/>
          <w:szCs w:val="21"/>
          <w:lang w:val="en-US" w:eastAsia="zh-CN"/>
        </w:rPr>
        <w:t>技术风险应对：性能优化与安全加固</w:t>
      </w:r>
      <w:bookmarkEnd w:id="115"/>
      <w:bookmarkEnd w:id="116"/>
    </w:p>
    <w:p>
      <w:pPr>
        <w:pStyle w:val="5"/>
        <w:numPr>
          <w:ilvl w:val="3"/>
          <w:numId w:val="1"/>
        </w:numPr>
        <w:bidi w:val="0"/>
        <w:ind w:left="850" w:leftChars="0" w:hanging="850" w:firstLineChars="0"/>
        <w:rPr>
          <w:rFonts w:hint="eastAsia"/>
          <w:sz w:val="21"/>
          <w:szCs w:val="21"/>
        </w:rPr>
      </w:pPr>
      <w:r>
        <w:rPr>
          <w:rFonts w:hint="eastAsia"/>
          <w:sz w:val="21"/>
          <w:szCs w:val="21"/>
          <w:lang w:val="en-US" w:eastAsia="zh-CN"/>
        </w:rPr>
        <w:t>模型性能优化</w:t>
      </w:r>
    </w:p>
    <w:p>
      <w:pPr>
        <w:keepNext w:val="0"/>
        <w:keepLines w:val="0"/>
        <w:widowControl w:val="0"/>
        <w:numPr>
          <w:ilvl w:val="0"/>
          <w:numId w:val="64"/>
        </w:numPr>
        <w:suppressLineNumbers w:val="0"/>
        <w:spacing w:before="120" w:beforeAutospacing="0" w:after="120" w:afterAutospacing="0" w:line="288" w:lineRule="auto"/>
        <w:ind w:left="453"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采用</w:t>
      </w:r>
      <w:r>
        <w:rPr>
          <w:rFonts w:hint="eastAsia" w:ascii="仿宋_GB2312" w:hAnsi="Times New Roman" w:eastAsia="仿宋_GB2312" w:cs="仿宋_GB2312"/>
          <w:b/>
          <w:bCs w:val="0"/>
          <w:color w:val="auto"/>
          <w:kern w:val="0"/>
          <w:sz w:val="21"/>
          <w:szCs w:val="21"/>
          <w:lang w:val="en-US" w:eastAsia="zh-CN" w:bidi="ar"/>
        </w:rPr>
        <w:t>模型压缩（Quantization）与边缘计算技术</w:t>
      </w:r>
      <w:r>
        <w:rPr>
          <w:rFonts w:hint="eastAsia" w:ascii="仿宋_GB2312" w:hAnsi="Times New Roman" w:eastAsia="仿宋_GB2312" w:cs="仿宋_GB2312"/>
          <w:color w:val="auto"/>
          <w:kern w:val="0"/>
          <w:sz w:val="21"/>
          <w:szCs w:val="21"/>
          <w:lang w:val="en-US" w:eastAsia="zh-CN" w:bidi="ar"/>
        </w:rPr>
        <w:t>，将动态问答引擎的推理耗时从500ms压缩至≤200ms，并发处理能力提升至10万QPS，确保高并发场景下的稳定响应。</w:t>
      </w:r>
    </w:p>
    <w:p>
      <w:pPr>
        <w:keepNext w:val="0"/>
        <w:keepLines w:val="0"/>
        <w:widowControl w:val="0"/>
        <w:numPr>
          <w:ilvl w:val="0"/>
          <w:numId w:val="65"/>
        </w:numPr>
        <w:suppressLineNumbers w:val="0"/>
        <w:spacing w:before="120" w:beforeAutospacing="0" w:after="120" w:afterAutospacing="0" w:line="288" w:lineRule="auto"/>
        <w:ind w:left="453"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通过</w:t>
      </w:r>
      <w:r>
        <w:rPr>
          <w:rFonts w:hint="eastAsia" w:ascii="仿宋_GB2312" w:hAnsi="Times New Roman" w:eastAsia="仿宋_GB2312" w:cs="仿宋_GB2312"/>
          <w:b/>
          <w:bCs w:val="0"/>
          <w:color w:val="auto"/>
          <w:kern w:val="0"/>
          <w:sz w:val="21"/>
          <w:szCs w:val="21"/>
          <w:lang w:val="en-US" w:eastAsia="zh-CN" w:bidi="ar"/>
        </w:rPr>
        <w:t>联邦学习框架</w:t>
      </w:r>
      <w:r>
        <w:rPr>
          <w:rFonts w:hint="eastAsia" w:ascii="仿宋_GB2312" w:hAnsi="Times New Roman" w:eastAsia="仿宋_GB2312" w:cs="仿宋_GB2312"/>
          <w:color w:val="auto"/>
          <w:kern w:val="0"/>
          <w:sz w:val="21"/>
          <w:szCs w:val="21"/>
          <w:lang w:val="en-US" w:eastAsia="zh-CN" w:bidi="ar"/>
        </w:rPr>
        <w:t>实现跨机构数据联合建模（如医院HIS与疾控数据对齐），数据格式标准化率提升至90%，破解医疗机构数据孤岛问题。</w:t>
      </w:r>
    </w:p>
    <w:p>
      <w:pPr>
        <w:pStyle w:val="5"/>
        <w:numPr>
          <w:ilvl w:val="3"/>
          <w:numId w:val="1"/>
        </w:numPr>
        <w:bidi w:val="0"/>
        <w:ind w:left="850" w:leftChars="0" w:hanging="850" w:firstLineChars="0"/>
        <w:rPr>
          <w:rFonts w:hint="eastAsia"/>
          <w:sz w:val="21"/>
          <w:szCs w:val="21"/>
        </w:rPr>
      </w:pPr>
      <w:r>
        <w:rPr>
          <w:rFonts w:hint="eastAsia"/>
          <w:sz w:val="21"/>
          <w:szCs w:val="21"/>
          <w:lang w:val="en-US" w:eastAsia="zh-CN"/>
        </w:rPr>
        <w:t>全链路安全增强</w:t>
      </w:r>
    </w:p>
    <w:p>
      <w:pPr>
        <w:keepNext w:val="0"/>
        <w:keepLines w:val="0"/>
        <w:widowControl w:val="0"/>
        <w:numPr>
          <w:ilvl w:val="0"/>
          <w:numId w:val="66"/>
        </w:numPr>
        <w:suppressLineNumbers w:val="0"/>
        <w:spacing w:before="120" w:beforeAutospacing="0" w:after="120" w:afterAutospacing="0" w:line="288" w:lineRule="auto"/>
        <w:ind w:left="453"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采用“区块链分片存储+动态分权访问”机制，敏感字段（如身份证号、住址）的掩码覆盖率提升至99.9%，确保数据“采集-传输-存储”全链路可溯源。</w:t>
      </w:r>
    </w:p>
    <w:p>
      <w:pPr>
        <w:keepNext w:val="0"/>
        <w:keepLines w:val="0"/>
        <w:widowControl w:val="0"/>
        <w:numPr>
          <w:ilvl w:val="0"/>
          <w:numId w:val="67"/>
        </w:numPr>
        <w:suppressLineNumbers w:val="0"/>
        <w:spacing w:before="120" w:beforeAutospacing="0" w:after="120" w:afterAutospacing="0" w:line="288" w:lineRule="auto"/>
        <w:ind w:left="453"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通过</w:t>
      </w:r>
      <w:r>
        <w:rPr>
          <w:rFonts w:hint="eastAsia" w:ascii="仿宋_GB2312" w:hAnsi="Times New Roman" w:eastAsia="仿宋_GB2312" w:cs="仿宋_GB2312"/>
          <w:b/>
          <w:bCs w:val="0"/>
          <w:color w:val="auto"/>
          <w:kern w:val="0"/>
          <w:sz w:val="21"/>
          <w:szCs w:val="21"/>
          <w:lang w:val="en-US" w:eastAsia="zh-CN" w:bidi="ar"/>
        </w:rPr>
        <w:t>等保三级与HIPAA双认证</w:t>
      </w:r>
      <w:r>
        <w:rPr>
          <w:rFonts w:hint="eastAsia" w:ascii="仿宋_GB2312" w:hAnsi="Times New Roman" w:eastAsia="仿宋_GB2312" w:cs="仿宋_GB2312"/>
          <w:color w:val="auto"/>
          <w:kern w:val="0"/>
          <w:sz w:val="21"/>
          <w:szCs w:val="21"/>
          <w:lang w:val="en-US" w:eastAsia="zh-CN" w:bidi="ar"/>
        </w:rPr>
        <w:t>，构建国内首个通过国际隐私标准的零信任架构，敏感数据仅加密上传特征值至中央平台，原始信息本地脱敏留存。</w:t>
      </w:r>
    </w:p>
    <w:p>
      <w:pPr>
        <w:pStyle w:val="4"/>
        <w:bidi w:val="0"/>
        <w:rPr>
          <w:rFonts w:hint="eastAsia"/>
          <w:sz w:val="21"/>
          <w:szCs w:val="21"/>
        </w:rPr>
      </w:pPr>
      <w:bookmarkStart w:id="117" w:name="heading_75"/>
      <w:bookmarkStart w:id="118" w:name="_Toc26621"/>
      <w:r>
        <w:rPr>
          <w:rFonts w:hint="eastAsia"/>
          <w:sz w:val="21"/>
          <w:szCs w:val="21"/>
          <w:lang w:val="en-US" w:eastAsia="zh-CN"/>
        </w:rPr>
        <w:t>市场风险应对：分层定价与生态协同</w:t>
      </w:r>
      <w:bookmarkEnd w:id="117"/>
      <w:bookmarkEnd w:id="118"/>
    </w:p>
    <w:p>
      <w:pPr>
        <w:pStyle w:val="5"/>
        <w:numPr>
          <w:ilvl w:val="3"/>
          <w:numId w:val="1"/>
        </w:numPr>
        <w:bidi w:val="0"/>
        <w:ind w:left="850" w:leftChars="0" w:hanging="850" w:firstLineChars="0"/>
        <w:rPr>
          <w:rFonts w:hint="eastAsia"/>
          <w:sz w:val="21"/>
          <w:szCs w:val="21"/>
        </w:rPr>
      </w:pPr>
      <w:r>
        <w:rPr>
          <w:rFonts w:hint="eastAsia"/>
          <w:sz w:val="21"/>
          <w:szCs w:val="21"/>
          <w:lang w:val="en-US" w:eastAsia="zh-CN"/>
        </w:rPr>
        <w:t>差异化定价策略</w:t>
      </w:r>
    </w:p>
    <w:p>
      <w:pPr>
        <w:keepNext w:val="0"/>
        <w:keepLines w:val="0"/>
        <w:widowControl w:val="0"/>
        <w:numPr>
          <w:ilvl w:val="0"/>
          <w:numId w:val="68"/>
        </w:numPr>
        <w:suppressLineNumbers w:val="0"/>
        <w:spacing w:before="120" w:beforeAutospacing="0" w:after="120" w:afterAutospacing="0" w:line="288" w:lineRule="auto"/>
        <w:ind w:left="453"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针对中西部基层医院采用“基础功能免费+按流调量计费”（0.5元/次）</w:t>
      </w:r>
      <w:r>
        <w:rPr>
          <w:rFonts w:hint="eastAsia" w:ascii="仿宋_GB2312" w:hAnsi="Times New Roman" w:eastAsia="仿宋_GB2312" w:cs="仿宋_GB2312"/>
          <w:b/>
          <w:bCs w:val="0"/>
          <w:color w:val="auto"/>
          <w:kern w:val="0"/>
          <w:sz w:val="21"/>
          <w:szCs w:val="21"/>
          <w:lang w:val="en-US" w:eastAsia="zh-CN" w:bidi="ar"/>
        </w:rPr>
        <w:t>模式，降低初始使用门槛；一线城市推行</w:t>
      </w:r>
      <w:r>
        <w:rPr>
          <w:rFonts w:hint="eastAsia" w:ascii="仿宋_GB2312" w:hAnsi="Times New Roman" w:eastAsia="仿宋_GB2312" w:cs="仿宋_GB2312"/>
          <w:color w:val="auto"/>
          <w:kern w:val="0"/>
          <w:sz w:val="21"/>
          <w:szCs w:val="21"/>
          <w:lang w:val="en-US" w:eastAsia="zh-CN" w:bidi="ar"/>
        </w:rPr>
        <w:t>“人口规模阶梯订阅”（80万元/百万人/年），按服务规模灵活调整费用。</w:t>
      </w:r>
    </w:p>
    <w:p>
      <w:pPr>
        <w:keepNext w:val="0"/>
        <w:keepLines w:val="0"/>
        <w:widowControl w:val="0"/>
        <w:numPr>
          <w:ilvl w:val="0"/>
          <w:numId w:val="69"/>
        </w:numPr>
        <w:suppressLineNumbers w:val="0"/>
        <w:spacing w:before="120" w:beforeAutospacing="0" w:after="120" w:afterAutospacing="0" w:line="288" w:lineRule="auto"/>
        <w:ind w:left="453"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对药企与保险公司提供</w:t>
      </w:r>
      <w:r>
        <w:rPr>
          <w:rFonts w:hint="eastAsia" w:ascii="仿宋_GB2312" w:hAnsi="Times New Roman" w:eastAsia="仿宋_GB2312" w:cs="仿宋_GB2312"/>
          <w:b/>
          <w:bCs w:val="0"/>
          <w:color w:val="auto"/>
          <w:kern w:val="0"/>
          <w:sz w:val="21"/>
          <w:szCs w:val="21"/>
          <w:lang w:val="en-US" w:eastAsia="zh-CN" w:bidi="ar"/>
        </w:rPr>
        <w:t>按效果付费</w:t>
      </w:r>
      <w:r>
        <w:rPr>
          <w:rFonts w:hint="eastAsia" w:ascii="仿宋_GB2312" w:hAnsi="Times New Roman" w:eastAsia="仿宋_GB2312" w:cs="仿宋_GB2312"/>
          <w:color w:val="auto"/>
          <w:kern w:val="0"/>
          <w:sz w:val="21"/>
          <w:szCs w:val="21"/>
          <w:lang w:val="en-US" w:eastAsia="zh-CN" w:bidi="ar"/>
        </w:rPr>
        <w:t>模式（如每避免1例感染奖励1000元），提升商业化模块的客户粘性。</w:t>
      </w:r>
    </w:p>
    <w:p>
      <w:pPr>
        <w:pStyle w:val="5"/>
        <w:numPr>
          <w:ilvl w:val="3"/>
          <w:numId w:val="1"/>
        </w:numPr>
        <w:bidi w:val="0"/>
        <w:ind w:left="850" w:leftChars="0" w:hanging="850" w:firstLineChars="0"/>
        <w:rPr>
          <w:rFonts w:hint="eastAsia"/>
          <w:sz w:val="21"/>
          <w:szCs w:val="21"/>
        </w:rPr>
      </w:pPr>
      <w:r>
        <w:rPr>
          <w:rFonts w:hint="eastAsia"/>
          <w:sz w:val="21"/>
          <w:szCs w:val="21"/>
          <w:lang w:val="en-US" w:eastAsia="zh-CN"/>
        </w:rPr>
        <w:t>用户教育与生态共建</w:t>
      </w:r>
    </w:p>
    <w:p>
      <w:pPr>
        <w:keepNext w:val="0"/>
        <w:keepLines w:val="0"/>
        <w:widowControl w:val="0"/>
        <w:numPr>
          <w:ilvl w:val="0"/>
          <w:numId w:val="70"/>
        </w:numPr>
        <w:suppressLineNumbers w:val="0"/>
        <w:spacing w:before="120" w:beforeAutospacing="0" w:after="120" w:afterAutospacing="0" w:line="288" w:lineRule="auto"/>
        <w:ind w:left="453"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联合运营商推出“银发服务专线”</w:t>
      </w:r>
      <w:r>
        <w:rPr>
          <w:rFonts w:hint="eastAsia" w:ascii="仿宋_GB2312" w:hAnsi="Times New Roman" w:eastAsia="仿宋_GB2312" w:cs="仿宋_GB2312"/>
          <w:b/>
          <w:bCs w:val="0"/>
          <w:color w:val="auto"/>
          <w:kern w:val="0"/>
          <w:sz w:val="21"/>
          <w:szCs w:val="21"/>
          <w:lang w:val="en-US" w:eastAsia="zh-CN" w:bidi="ar"/>
        </w:rPr>
        <w:t>，支持6种方言语音交互，老年用户覆盖率从38%提升至65%；在社区部署</w:t>
      </w:r>
      <w:r>
        <w:rPr>
          <w:rFonts w:hint="eastAsia" w:ascii="仿宋_GB2312" w:hAnsi="Times New Roman" w:eastAsia="仿宋_GB2312" w:cs="仿宋_GB2312"/>
          <w:color w:val="auto"/>
          <w:kern w:val="0"/>
          <w:sz w:val="21"/>
          <w:szCs w:val="21"/>
          <w:lang w:val="en-US" w:eastAsia="zh-CN" w:bidi="ar"/>
        </w:rPr>
        <w:t>“流调智能终端机”，配备大字界面与远程协助功能，每月覆盖超10万银龄用户。</w:t>
      </w:r>
    </w:p>
    <w:p>
      <w:pPr>
        <w:keepNext w:val="0"/>
        <w:keepLines w:val="0"/>
        <w:widowControl w:val="0"/>
        <w:numPr>
          <w:ilvl w:val="0"/>
          <w:numId w:val="71"/>
        </w:numPr>
        <w:suppressLineNumbers w:val="0"/>
        <w:spacing w:before="120" w:beforeAutospacing="0" w:after="120" w:afterAutospacing="0" w:line="288" w:lineRule="auto"/>
        <w:ind w:left="453"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与阿里云、华为共建“公共卫生AI开放平台”，开放动态问答引擎API（0.1元/次调用），吸引超5000家开发者接入，形成技术-数据-服务协同生态，日均API调用量突破500万次。</w:t>
      </w:r>
    </w:p>
    <w:p>
      <w:pPr>
        <w:pStyle w:val="4"/>
        <w:bidi w:val="0"/>
        <w:rPr>
          <w:rFonts w:hint="eastAsia"/>
          <w:sz w:val="21"/>
          <w:szCs w:val="21"/>
        </w:rPr>
      </w:pPr>
      <w:bookmarkStart w:id="119" w:name="_Toc26150"/>
      <w:bookmarkStart w:id="120" w:name="heading_76"/>
      <w:r>
        <w:rPr>
          <w:rFonts w:hint="eastAsia"/>
          <w:sz w:val="21"/>
          <w:szCs w:val="21"/>
          <w:lang w:val="en-US" w:eastAsia="zh-CN"/>
        </w:rPr>
        <w:t>合规与政策风险应对：制度保障与伦理兜底</w:t>
      </w:r>
      <w:bookmarkEnd w:id="119"/>
      <w:bookmarkEnd w:id="120"/>
    </w:p>
    <w:p>
      <w:pPr>
        <w:pStyle w:val="5"/>
        <w:numPr>
          <w:ilvl w:val="3"/>
          <w:numId w:val="1"/>
        </w:numPr>
        <w:bidi w:val="0"/>
        <w:ind w:left="850" w:leftChars="0" w:hanging="850" w:firstLineChars="0"/>
        <w:rPr>
          <w:rFonts w:hint="eastAsia"/>
          <w:sz w:val="21"/>
          <w:szCs w:val="21"/>
        </w:rPr>
      </w:pPr>
      <w:r>
        <w:rPr>
          <w:rFonts w:hint="eastAsia"/>
          <w:sz w:val="21"/>
          <w:szCs w:val="21"/>
          <w:lang w:val="en-US" w:eastAsia="zh-CN"/>
        </w:rPr>
        <w:t>合规体系构建</w:t>
      </w:r>
    </w:p>
    <w:p>
      <w:pPr>
        <w:keepNext w:val="0"/>
        <w:keepLines w:val="0"/>
        <w:widowControl w:val="0"/>
        <w:numPr>
          <w:ilvl w:val="0"/>
          <w:numId w:val="72"/>
        </w:numPr>
        <w:suppressLineNumbers w:val="0"/>
        <w:spacing w:before="120" w:beforeAutospacing="0" w:after="120" w:afterAutospacing="0" w:line="288" w:lineRule="auto"/>
        <w:ind w:left="453"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设立专职法务团队，每季度更新《数据安全白皮书》，完成</w:t>
      </w:r>
      <w:r>
        <w:rPr>
          <w:rFonts w:hint="eastAsia" w:ascii="仿宋_GB2312" w:hAnsi="Times New Roman" w:eastAsia="仿宋_GB2312" w:cs="仿宋_GB2312"/>
          <w:b/>
          <w:bCs w:val="0"/>
          <w:color w:val="auto"/>
          <w:kern w:val="0"/>
          <w:sz w:val="21"/>
          <w:szCs w:val="21"/>
          <w:lang w:val="en-US" w:eastAsia="zh-CN" w:bidi="ar"/>
        </w:rPr>
        <w:t>GDPR、HIPAA与《个人信息保护法》三重认证</w:t>
      </w:r>
      <w:r>
        <w:rPr>
          <w:rFonts w:hint="eastAsia" w:ascii="仿宋_GB2312" w:hAnsi="Times New Roman" w:eastAsia="仿宋_GB2312" w:cs="仿宋_GB2312"/>
          <w:color w:val="auto"/>
          <w:kern w:val="0"/>
          <w:sz w:val="21"/>
          <w:szCs w:val="21"/>
          <w:lang w:val="en-US" w:eastAsia="zh-CN" w:bidi="ar"/>
        </w:rPr>
        <w:t>，确保跨境数据传输的合法性。</w:t>
      </w:r>
    </w:p>
    <w:p>
      <w:pPr>
        <w:keepNext w:val="0"/>
        <w:keepLines w:val="0"/>
        <w:widowControl w:val="0"/>
        <w:numPr>
          <w:ilvl w:val="0"/>
          <w:numId w:val="73"/>
        </w:numPr>
        <w:suppressLineNumbers w:val="0"/>
        <w:spacing w:before="120" w:beforeAutospacing="0" w:after="120" w:afterAutospacing="0" w:line="288" w:lineRule="auto"/>
        <w:ind w:left="453"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参与卫健委“AI+医疗”标准制定，主导编制《智能流调系统技术规范》，推动技术方案纳入国家级防控指南，抢占行业话语权。</w:t>
      </w:r>
    </w:p>
    <w:p>
      <w:pPr>
        <w:pStyle w:val="5"/>
        <w:numPr>
          <w:ilvl w:val="3"/>
          <w:numId w:val="1"/>
        </w:numPr>
        <w:bidi w:val="0"/>
        <w:ind w:left="850" w:leftChars="0" w:hanging="850" w:firstLineChars="0"/>
        <w:rPr>
          <w:rFonts w:hint="eastAsia"/>
          <w:sz w:val="21"/>
          <w:szCs w:val="21"/>
          <w:lang w:val="en-US" w:eastAsia="zh-CN"/>
        </w:rPr>
      </w:pPr>
      <w:r>
        <w:rPr>
          <w:rFonts w:hint="eastAsia"/>
          <w:sz w:val="21"/>
          <w:szCs w:val="21"/>
          <w:lang w:val="en-US" w:eastAsia="zh-CN"/>
        </w:rPr>
        <w:t>伦理风控机制</w:t>
      </w:r>
    </w:p>
    <w:p>
      <w:pPr>
        <w:keepNext w:val="0"/>
        <w:keepLines w:val="0"/>
        <w:widowControl w:val="0"/>
        <w:numPr>
          <w:ilvl w:val="0"/>
          <w:numId w:val="74"/>
        </w:numPr>
        <w:suppressLineNumbers w:val="0"/>
        <w:spacing w:before="120" w:beforeAutospacing="0" w:after="120" w:afterAutospacing="0" w:line="288" w:lineRule="auto"/>
        <w:ind w:left="453"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引入</w:t>
      </w:r>
      <w:r>
        <w:rPr>
          <w:rFonts w:hint="eastAsia" w:ascii="仿宋_GB2312" w:hAnsi="Times New Roman" w:eastAsia="仿宋_GB2312" w:cs="仿宋_GB2312"/>
          <w:b/>
          <w:bCs w:val="0"/>
          <w:color w:val="auto"/>
          <w:kern w:val="0"/>
          <w:sz w:val="21"/>
          <w:szCs w:val="21"/>
          <w:lang w:val="en-US" w:eastAsia="zh-CN" w:bidi="ar"/>
        </w:rPr>
        <w:t>医生双盲复核机制</w:t>
      </w:r>
      <w:r>
        <w:rPr>
          <w:rFonts w:hint="eastAsia" w:ascii="仿宋_GB2312" w:hAnsi="Times New Roman" w:eastAsia="仿宋_GB2312" w:cs="仿宋_GB2312"/>
          <w:color w:val="auto"/>
          <w:kern w:val="0"/>
          <w:sz w:val="21"/>
          <w:szCs w:val="21"/>
          <w:lang w:val="en-US" w:eastAsia="zh-CN" w:bidi="ar"/>
        </w:rPr>
        <w:t>，AI生成的健康建议需经两名医生独立审核，误诊率压缩至0.3%以下，显著低于行业平均水平（1.5%）。</w:t>
      </w:r>
    </w:p>
    <w:p>
      <w:pPr>
        <w:keepNext w:val="0"/>
        <w:keepLines w:val="0"/>
        <w:widowControl w:val="0"/>
        <w:numPr>
          <w:ilvl w:val="0"/>
          <w:numId w:val="75"/>
        </w:numPr>
        <w:suppressLineNumbers w:val="0"/>
        <w:spacing w:before="120" w:beforeAutospacing="0" w:after="120" w:afterAutospacing="0" w:line="288" w:lineRule="auto"/>
        <w:ind w:left="453"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投保</w:t>
      </w:r>
      <w:r>
        <w:rPr>
          <w:rFonts w:hint="eastAsia" w:ascii="仿宋_GB2312" w:hAnsi="Times New Roman" w:eastAsia="仿宋_GB2312" w:cs="仿宋_GB2312"/>
          <w:b/>
          <w:bCs w:val="0"/>
          <w:color w:val="auto"/>
          <w:kern w:val="0"/>
          <w:sz w:val="21"/>
          <w:szCs w:val="21"/>
          <w:lang w:val="en-US" w:eastAsia="zh-CN" w:bidi="ar"/>
        </w:rPr>
        <w:t>年度保额1亿元的医疗责任险</w:t>
      </w:r>
      <w:r>
        <w:rPr>
          <w:rFonts w:hint="eastAsia" w:ascii="仿宋_GB2312" w:hAnsi="Times New Roman" w:eastAsia="仿宋_GB2312" w:cs="仿宋_GB2312"/>
          <w:color w:val="auto"/>
          <w:kern w:val="0"/>
          <w:sz w:val="21"/>
          <w:szCs w:val="21"/>
          <w:lang w:val="en-US" w:eastAsia="zh-CN" w:bidi="ar"/>
        </w:rPr>
        <w:t>，覆盖因技术误判导致的医疗纠纷，降低法律风险。</w:t>
      </w:r>
    </w:p>
    <w:p>
      <w:pPr>
        <w:pStyle w:val="4"/>
        <w:bidi w:val="0"/>
        <w:rPr>
          <w:rFonts w:hint="eastAsia"/>
          <w:sz w:val="21"/>
          <w:szCs w:val="21"/>
        </w:rPr>
      </w:pPr>
      <w:bookmarkStart w:id="121" w:name="heading_77"/>
      <w:bookmarkStart w:id="122" w:name="_Toc5853"/>
      <w:r>
        <w:rPr>
          <w:rFonts w:hint="eastAsia"/>
          <w:sz w:val="21"/>
          <w:szCs w:val="21"/>
          <w:lang w:val="en-US" w:eastAsia="zh-CN"/>
        </w:rPr>
        <w:t>成效量化与动态追踪</w:t>
      </w:r>
      <w:bookmarkEnd w:id="121"/>
      <w:bookmarkEnd w:id="122"/>
    </w:p>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通过上述措施，项目预计实现以下风险控制目标：</w:t>
      </w:r>
    </w:p>
    <w:p>
      <w:pPr>
        <w:keepNext w:val="0"/>
        <w:keepLines w:val="0"/>
        <w:widowControl w:val="0"/>
        <w:numPr>
          <w:ilvl w:val="0"/>
          <w:numId w:val="76"/>
        </w:numPr>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技术风险降低70%</w:t>
      </w:r>
      <w:r>
        <w:rPr>
          <w:rFonts w:hint="eastAsia" w:ascii="仿宋_GB2312" w:hAnsi="Times New Roman" w:eastAsia="仿宋_GB2312" w:cs="仿宋_GB2312"/>
          <w:color w:val="auto"/>
          <w:kern w:val="0"/>
          <w:sz w:val="21"/>
          <w:szCs w:val="21"/>
          <w:lang w:val="en-US" w:eastAsia="zh-CN" w:bidi="ar"/>
        </w:rPr>
        <w:t>：推理延迟≤200ms、数据泄露事件归零；</w:t>
      </w:r>
    </w:p>
    <w:p>
      <w:pPr>
        <w:keepNext w:val="0"/>
        <w:keepLines w:val="0"/>
        <w:widowControl w:val="0"/>
        <w:numPr>
          <w:ilvl w:val="0"/>
          <w:numId w:val="77"/>
        </w:numPr>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市场风险降低50%</w:t>
      </w:r>
      <w:r>
        <w:rPr>
          <w:rFonts w:hint="eastAsia" w:ascii="仿宋_GB2312" w:hAnsi="Times New Roman" w:eastAsia="仿宋_GB2312" w:cs="仿宋_GB2312"/>
          <w:color w:val="auto"/>
          <w:kern w:val="0"/>
          <w:sz w:val="21"/>
          <w:szCs w:val="21"/>
          <w:lang w:val="en-US" w:eastAsia="zh-CN" w:bidi="ar"/>
        </w:rPr>
        <w:t>：B端医院付费率从35%提升至≥60%、老年用户覆盖率突破65%；</w:t>
      </w:r>
    </w:p>
    <w:p>
      <w:pPr>
        <w:keepNext w:val="0"/>
        <w:keepLines w:val="0"/>
        <w:widowControl w:val="0"/>
        <w:numPr>
          <w:ilvl w:val="0"/>
          <w:numId w:val="78"/>
        </w:numPr>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合规风险降低90%</w:t>
      </w:r>
      <w:r>
        <w:rPr>
          <w:rFonts w:hint="eastAsia" w:ascii="仿宋_GB2312" w:hAnsi="Times New Roman" w:eastAsia="仿宋_GB2312" w:cs="仿宋_GB2312"/>
          <w:color w:val="auto"/>
          <w:kern w:val="0"/>
          <w:sz w:val="21"/>
          <w:szCs w:val="21"/>
          <w:lang w:val="en-US" w:eastAsia="zh-CN" w:bidi="ar"/>
        </w:rPr>
        <w:t>：敏感数据掩码覆盖率≥99.9%、AI建议误诊率≤0.3%。</w:t>
      </w:r>
    </w:p>
    <w:p>
      <w:pPr>
        <w:keepNext w:val="0"/>
        <w:keepLines w:val="0"/>
        <w:widowControl w:val="0"/>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动态优化机制</w:t>
      </w:r>
      <w:r>
        <w:rPr>
          <w:rFonts w:hint="eastAsia" w:ascii="仿宋_GB2312" w:hAnsi="Times New Roman" w:eastAsia="仿宋_GB2312" w:cs="仿宋_GB2312"/>
          <w:color w:val="auto"/>
          <w:kern w:val="0"/>
          <w:sz w:val="21"/>
          <w:szCs w:val="21"/>
          <w:lang w:val="en-US" w:eastAsia="zh-CN" w:bidi="ar"/>
        </w:rPr>
        <w:t>：</w:t>
      </w:r>
    </w:p>
    <w:p>
      <w:pPr>
        <w:keepNext w:val="0"/>
        <w:keepLines w:val="0"/>
        <w:widowControl w:val="0"/>
        <w:numPr>
          <w:ilvl w:val="0"/>
          <w:numId w:val="79"/>
        </w:numPr>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通过机器学习模型分析政府招标关键词，生成精准提案，中标率提升40%；</w:t>
      </w:r>
    </w:p>
    <w:p>
      <w:pPr>
        <w:keepNext w:val="0"/>
        <w:keepLines w:val="0"/>
        <w:widowControl w:val="0"/>
        <w:numPr>
          <w:ilvl w:val="0"/>
          <w:numId w:val="80"/>
        </w:numPr>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实时监控用户行为数据，识别高价值客户（如慢性病患者）定向推送订阅服务，付费转化率提升至25%；</w:t>
      </w:r>
    </w:p>
    <w:p>
      <w:pPr>
        <w:keepNext w:val="0"/>
        <w:keepLines w:val="0"/>
        <w:widowControl w:val="0"/>
        <w:numPr>
          <w:ilvl w:val="0"/>
          <w:numId w:val="81"/>
        </w:numPr>
        <w:suppressLineNumbers w:val="0"/>
        <w:spacing w:before="120" w:beforeAutospacing="0" w:after="120" w:afterAutospacing="0" w:line="288" w:lineRule="auto"/>
        <w:ind w:left="0" w:right="0"/>
        <w:jc w:val="left"/>
        <w:rPr>
          <w:rFonts w:hint="eastAsia" w:ascii="仿宋_GB2312" w:eastAsia="仿宋_GB2312" w:cs="仿宋_GB2312"/>
          <w:color w:val="auto"/>
          <w:sz w:val="21"/>
          <w:szCs w:val="21"/>
        </w:rPr>
      </w:pPr>
      <w:r>
        <w:rPr>
          <w:rFonts w:hint="eastAsia" w:ascii="仿宋_GB2312" w:hAnsi="Times New Roman" w:eastAsia="仿宋_GB2312" w:cs="仿宋_GB2312"/>
          <w:color w:val="auto"/>
          <w:kern w:val="0"/>
          <w:sz w:val="21"/>
          <w:szCs w:val="21"/>
          <w:lang w:val="en-US" w:eastAsia="zh-CN" w:bidi="ar"/>
        </w:rPr>
        <w:t>建立全球舆情监控系统，抓取海外社交媒体动态，动态调整本地化功能（如非洲版增加疟疾用药提醒模块）。</w:t>
      </w:r>
    </w:p>
    <w:p>
      <w:pPr>
        <w:keepNext w:val="0"/>
        <w:keepLines w:val="0"/>
        <w:widowControl w:val="0"/>
        <w:suppressLineNumbers w:val="0"/>
        <w:spacing w:before="120" w:beforeAutospacing="0" w:after="120" w:afterAutospacing="0" w:line="288" w:lineRule="auto"/>
        <w:ind w:left="0" w:right="0" w:firstLine="420"/>
        <w:jc w:val="left"/>
        <w:rPr>
          <w:rFonts w:hint="eastAsia" w:ascii="仿宋_GB2312" w:eastAsia="仿宋_GB2312" w:cs="仿宋_GB2312"/>
          <w:color w:val="auto"/>
          <w:sz w:val="21"/>
          <w:szCs w:val="21"/>
        </w:rPr>
      </w:pPr>
      <w:r>
        <w:rPr>
          <w:rFonts w:hint="eastAsia" w:ascii="仿宋_GB2312" w:hAnsi="Times New Roman" w:eastAsia="仿宋_GB2312" w:cs="仿宋_GB2312"/>
          <w:b/>
          <w:bCs w:val="0"/>
          <w:color w:val="auto"/>
          <w:kern w:val="0"/>
          <w:sz w:val="21"/>
          <w:szCs w:val="21"/>
          <w:lang w:val="en-US" w:eastAsia="zh-CN" w:bidi="ar"/>
        </w:rPr>
        <w:t>综上所述，</w:t>
      </w:r>
      <w:r>
        <w:rPr>
          <w:rFonts w:hint="eastAsia" w:ascii="仿宋" w:hAnsi="仿宋" w:eastAsia="仿宋" w:cs="仿宋"/>
          <w:color w:val="auto"/>
          <w:kern w:val="0"/>
          <w:sz w:val="21"/>
          <w:szCs w:val="21"/>
          <w:lang w:val="en-US" w:eastAsia="zh-CN" w:bidi="ar"/>
        </w:rPr>
        <w:t>HEALINK</w:t>
      </w:r>
      <w:r>
        <w:rPr>
          <w:rFonts w:hint="eastAsia" w:ascii="仿宋_GB2312" w:hAnsi="Times New Roman" w:eastAsia="仿宋_GB2312" w:cs="仿宋_GB2312"/>
          <w:color w:val="auto"/>
          <w:kern w:val="0"/>
          <w:sz w:val="21"/>
          <w:szCs w:val="21"/>
          <w:lang w:val="en-US" w:eastAsia="zh-CN" w:bidi="ar"/>
        </w:rPr>
        <w:t>项目通过“技术攻坚-生态共建-合规兜底”三位一体的风险化解体系，构建了覆盖全链路的防护网络。这一体系不仅为“平疫结合”公共卫生体系建设提供技术支撑，更通过量化目标与动态追踪机制，确保风险控制的可视化与可验证性，为AI医疗领域的规模化落地树立安全可靠的新标杆。未来，项目将持续优化风险应对策略，为社会价值与商业回报的双重突破提供坚实保障</w:t>
      </w:r>
      <w:r>
        <w:rPr>
          <w:rFonts w:hint="eastAsia" w:ascii="仿宋_GB2312" w:hAnsi="Times New Roman" w:cs="仿宋_GB2312"/>
          <w:color w:val="auto"/>
          <w:kern w:val="0"/>
          <w:sz w:val="21"/>
          <w:szCs w:val="21"/>
          <w:lang w:val="en-US" w:eastAsia="zh-CN" w:bidi="ar"/>
        </w:rPr>
        <w:t>。</w:t>
      </w:r>
    </w:p>
    <w:p>
      <w:pPr>
        <w:pStyle w:val="2"/>
        <w:numPr>
          <w:ilvl w:val="0"/>
          <w:numId w:val="0"/>
        </w:numPr>
        <w:bidi w:val="0"/>
        <w:ind w:left="0" w:leftChars="0" w:firstLine="0" w:firstLineChars="0"/>
        <w:outlineLvl w:val="9"/>
      </w:pPr>
    </w:p>
    <w:sectPr>
      <w:pgSz w:w="11906" w:h="16838"/>
      <w:pgMar w:top="1440" w:right="1080" w:bottom="1440" w:left="108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40"/>
      </w:pPr>
      <w:r>
        <w:separator/>
      </w:r>
    </w:p>
  </w:endnote>
  <w:endnote w:type="continuationSeparator" w:id="1">
    <w:p>
      <w:pPr>
        <w:spacing w:line="240" w:lineRule="auto"/>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script"/>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 w:name="仿宋_GB2312">
    <w:altName w:val="仿宋"/>
    <w:panose1 w:val="00000000000000000000"/>
    <w:charset w:val="00"/>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MingLiU_HKSCS-ExtB">
    <w:panose1 w:val="02020500000000000000"/>
    <w:charset w:val="88"/>
    <w:family w:val="auto"/>
    <w:pitch w:val="default"/>
    <w:sig w:usb0="8000002F" w:usb1="02000008" w:usb2="00000000" w:usb3="00000000" w:csb0="00100001" w:csb1="00000000"/>
  </w:font>
  <w:font w:name="Yu Gothic Light">
    <w:panose1 w:val="020B0300000000000000"/>
    <w:charset w:val="80"/>
    <w:family w:val="auto"/>
    <w:pitch w:val="default"/>
    <w:sig w:usb0="E00002FF" w:usb1="2AC7FDFF" w:usb2="00000016" w:usb3="00000000" w:csb0="2002009F" w:csb1="00000000"/>
  </w:font>
  <w:font w:name="Yu Gothic UI Semibold">
    <w:panose1 w:val="020B0700000000000000"/>
    <w:charset w:val="80"/>
    <w:family w:val="auto"/>
    <w:pitch w:val="default"/>
    <w:sig w:usb0="E00002FF" w:usb1="2AC7FDFF" w:usb2="00000016" w:usb3="00000000" w:csb0="2002009F" w:csb1="00000000"/>
  </w:font>
  <w:font w:name="Bahnschrift">
    <w:panose1 w:val="020B0502040204020203"/>
    <w:charset w:val="00"/>
    <w:family w:val="auto"/>
    <w:pitch w:val="default"/>
    <w:sig w:usb0="A00002C7" w:usb1="00000002"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ind w:firstLine="440"/>
      </w:pPr>
      <w:r>
        <w:separator/>
      </w:r>
    </w:p>
  </w:footnote>
  <w:footnote w:type="continuationSeparator" w:id="1">
    <w:p>
      <w:pPr>
        <w:spacing w:before="0" w:after="0" w:line="312" w:lineRule="auto"/>
        <w:ind w:firstLine="4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rPr>
        <w:rFonts w:hint="eastAsia" w:eastAsia="仿宋_GB2312"/>
        <w:b/>
        <w:bCs/>
        <w:color w:val="auto"/>
        <w:lang w:eastAsia="zh-CN"/>
      </w:rPr>
    </w:pPr>
    <w:r>
      <w:rPr>
        <w:rFonts w:hint="eastAsia" w:eastAsia="仿宋_GB2312"/>
        <w:b/>
        <w:bCs/>
        <w:color w:val="auto"/>
        <w:lang w:eastAsia="zh-CN"/>
      </w:rPr>
      <w:drawing>
        <wp:inline distT="0" distB="0" distL="114300" distR="114300">
          <wp:extent cx="370205" cy="370205"/>
          <wp:effectExtent l="0" t="0" r="10795" b="10795"/>
          <wp:docPr id="15" name="图片 15" descr="bb731b4c1d01a9cd983bd53cf17c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b731b4c1d01a9cd983bd53cf17cada"/>
                  <pic:cNvPicPr>
                    <a:picLocks noChangeAspect="1"/>
                  </pic:cNvPicPr>
                </pic:nvPicPr>
                <pic:blipFill>
                  <a:blip r:embed="rId1"/>
                  <a:stretch>
                    <a:fillRect/>
                  </a:stretch>
                </pic:blipFill>
                <pic:spPr>
                  <a:xfrm>
                    <a:off x="0" y="0"/>
                    <a:ext cx="370205" cy="370205"/>
                  </a:xfrm>
                  <a:prstGeom prst="rect">
                    <a:avLst/>
                  </a:prstGeom>
                </pic:spPr>
              </pic:pic>
            </a:graphicData>
          </a:graphic>
        </wp:inline>
      </w:drawing>
    </w:r>
    <w:r>
      <w:rPr>
        <w:rFonts w:hint="eastAsia" w:eastAsia="仿宋_GB2312"/>
        <w:b/>
        <w:bCs/>
        <w:color w:val="auto"/>
        <w:lang w:eastAsia="zh-CN"/>
      </w:rPr>
      <w:t>健康与流调一体化平台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3BC0E0"/>
    <w:multiLevelType w:val="multilevel"/>
    <w:tmpl w:val="823BC0E0"/>
    <w:lvl w:ilvl="0" w:tentative="0">
      <w:start w:val="0"/>
      <w:numFmt w:val="bullet"/>
      <w:lvlText w:val="￮"/>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
    <w:nsid w:val="87A6B73B"/>
    <w:multiLevelType w:val="multilevel"/>
    <w:tmpl w:val="87A6B73B"/>
    <w:lvl w:ilvl="0" w:tentative="0">
      <w:start w:val="0"/>
      <w:numFmt w:val="bullet"/>
      <w:lvlText w:val="￮"/>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
    <w:nsid w:val="93554876"/>
    <w:multiLevelType w:val="multilevel"/>
    <w:tmpl w:val="93554876"/>
    <w:lvl w:ilvl="0" w:tentative="0">
      <w:start w:val="0"/>
      <w:numFmt w:val="bullet"/>
      <w:lvlText w:val="￮"/>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3">
    <w:nsid w:val="9437C988"/>
    <w:multiLevelType w:val="multilevel"/>
    <w:tmpl w:val="9437C988"/>
    <w:lvl w:ilvl="0" w:tentative="0">
      <w:start w:val="0"/>
      <w:numFmt w:val="bullet"/>
      <w:lvlText w:val="•"/>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4">
    <w:nsid w:val="9C718AD6"/>
    <w:multiLevelType w:val="multilevel"/>
    <w:tmpl w:val="9C718AD6"/>
    <w:lvl w:ilvl="0" w:tentative="0">
      <w:start w:val="0"/>
      <w:numFmt w:val="bullet"/>
      <w:lvlText w:val="•"/>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5">
    <w:nsid w:val="9FBFB0E1"/>
    <w:multiLevelType w:val="multilevel"/>
    <w:tmpl w:val="9FBFB0E1"/>
    <w:lvl w:ilvl="0" w:tentative="0">
      <w:start w:val="1"/>
      <w:numFmt w:val="decimal"/>
      <w:lvlText w:val="%1."/>
      <w:lvlJc w:val="left"/>
      <w:pPr>
        <w:ind w:left="0" w:firstLine="0"/>
      </w:pPr>
      <w:rPr>
        <w:rFonts w:hint="default" w:ascii="Times New Roman" w:hAnsi="Times New Roman" w:cs="Times New Roman"/>
        <w:color w:val="auto"/>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6">
    <w:nsid w:val="A649FD6A"/>
    <w:multiLevelType w:val="multilevel"/>
    <w:tmpl w:val="A649FD6A"/>
    <w:lvl w:ilvl="0" w:tentative="0">
      <w:start w:val="0"/>
      <w:numFmt w:val="bullet"/>
      <w:lvlText w:val="•"/>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7">
    <w:nsid w:val="A7900209"/>
    <w:multiLevelType w:val="multilevel"/>
    <w:tmpl w:val="A7900209"/>
    <w:lvl w:ilvl="0" w:tentative="0">
      <w:start w:val="0"/>
      <w:numFmt w:val="bullet"/>
      <w:lvlText w:val="•"/>
      <w:lvlJc w:val="left"/>
      <w:pPr>
        <w:ind w:left="0" w:firstLine="0"/>
      </w:pPr>
      <w:rPr>
        <w:rFonts w:hint="default" w:ascii="Times New Roman" w:hAnsi="Times New Roman" w:cs="Times New Roman"/>
        <w:color w:val="auto"/>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8">
    <w:nsid w:val="A999370F"/>
    <w:multiLevelType w:val="multilevel"/>
    <w:tmpl w:val="A999370F"/>
    <w:lvl w:ilvl="0" w:tentative="0">
      <w:start w:val="0"/>
      <w:numFmt w:val="bullet"/>
      <w:lvlText w:val="￮"/>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9">
    <w:nsid w:val="AB2975E4"/>
    <w:multiLevelType w:val="multilevel"/>
    <w:tmpl w:val="AB2975E4"/>
    <w:lvl w:ilvl="0" w:tentative="0">
      <w:start w:val="0"/>
      <w:numFmt w:val="bullet"/>
      <w:lvlText w:val="•"/>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0">
    <w:nsid w:val="AC040B3E"/>
    <w:multiLevelType w:val="multilevel"/>
    <w:tmpl w:val="AC040B3E"/>
    <w:lvl w:ilvl="0" w:tentative="0">
      <w:start w:val="0"/>
      <w:numFmt w:val="bullet"/>
      <w:lvlText w:val="•"/>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1">
    <w:nsid w:val="B110D349"/>
    <w:multiLevelType w:val="multilevel"/>
    <w:tmpl w:val="B110D349"/>
    <w:lvl w:ilvl="0" w:tentative="0">
      <w:start w:val="0"/>
      <w:numFmt w:val="bullet"/>
      <w:lvlText w:val="￮"/>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2">
    <w:nsid w:val="B21062DD"/>
    <w:multiLevelType w:val="multilevel"/>
    <w:tmpl w:val="B21062DD"/>
    <w:lvl w:ilvl="0" w:tentative="0">
      <w:start w:val="3"/>
      <w:numFmt w:val="decimal"/>
      <w:lvlText w:val="%1."/>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3">
    <w:nsid w:val="B50DD432"/>
    <w:multiLevelType w:val="multilevel"/>
    <w:tmpl w:val="B50DD432"/>
    <w:lvl w:ilvl="0" w:tentative="0">
      <w:start w:val="2"/>
      <w:numFmt w:val="decimal"/>
      <w:lvlText w:val="%1."/>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4">
    <w:nsid w:val="BAF33184"/>
    <w:multiLevelType w:val="multilevel"/>
    <w:tmpl w:val="BAF33184"/>
    <w:lvl w:ilvl="0" w:tentative="0">
      <w:start w:val="0"/>
      <w:numFmt w:val="bullet"/>
      <w:lvlText w:val="￮"/>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5">
    <w:nsid w:val="C44701C6"/>
    <w:multiLevelType w:val="multilevel"/>
    <w:tmpl w:val="C44701C6"/>
    <w:lvl w:ilvl="0" w:tentative="0">
      <w:start w:val="0"/>
      <w:numFmt w:val="bullet"/>
      <w:lvlText w:val="•"/>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6">
    <w:nsid w:val="C5E3238A"/>
    <w:multiLevelType w:val="multilevel"/>
    <w:tmpl w:val="C5E3238A"/>
    <w:lvl w:ilvl="0" w:tentative="0">
      <w:start w:val="3"/>
      <w:numFmt w:val="decimal"/>
      <w:lvlText w:val="%1."/>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7">
    <w:nsid w:val="C632286B"/>
    <w:multiLevelType w:val="multilevel"/>
    <w:tmpl w:val="C632286B"/>
    <w:lvl w:ilvl="0" w:tentative="0">
      <w:start w:val="0"/>
      <w:numFmt w:val="bullet"/>
      <w:lvlText w:val="￮"/>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8">
    <w:nsid w:val="C80B1D9D"/>
    <w:multiLevelType w:val="multilevel"/>
    <w:tmpl w:val="C80B1D9D"/>
    <w:lvl w:ilvl="0" w:tentative="0">
      <w:start w:val="3"/>
      <w:numFmt w:val="decimal"/>
      <w:lvlText w:val="%1."/>
      <w:lvlJc w:val="left"/>
      <w:pPr>
        <w:ind w:left="0" w:firstLine="0"/>
      </w:pPr>
      <w:rPr>
        <w:rFonts w:hint="default" w:ascii="Times New Roman" w:hAnsi="Times New Roman" w:cs="Times New Roman"/>
        <w:color w:val="auto"/>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9">
    <w:nsid w:val="C8407EB9"/>
    <w:multiLevelType w:val="multilevel"/>
    <w:tmpl w:val="C8407EB9"/>
    <w:lvl w:ilvl="0" w:tentative="0">
      <w:start w:val="0"/>
      <w:numFmt w:val="bullet"/>
      <w:lvlText w:val="￮"/>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0">
    <w:nsid w:val="CB583CDE"/>
    <w:multiLevelType w:val="multilevel"/>
    <w:tmpl w:val="CB583CDE"/>
    <w:lvl w:ilvl="0" w:tentative="0">
      <w:start w:val="0"/>
      <w:numFmt w:val="bullet"/>
      <w:lvlText w:val="￮"/>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1">
    <w:nsid w:val="D0108966"/>
    <w:multiLevelType w:val="multilevel"/>
    <w:tmpl w:val="D0108966"/>
    <w:lvl w:ilvl="0" w:tentative="0">
      <w:start w:val="2"/>
      <w:numFmt w:val="decimal"/>
      <w:lvlText w:val="%1."/>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2">
    <w:nsid w:val="D22D3509"/>
    <w:multiLevelType w:val="multilevel"/>
    <w:tmpl w:val="D22D3509"/>
    <w:lvl w:ilvl="0" w:tentative="0">
      <w:start w:val="0"/>
      <w:numFmt w:val="bullet"/>
      <w:lvlText w:val="•"/>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3">
    <w:nsid w:val="D946D0DC"/>
    <w:multiLevelType w:val="multilevel"/>
    <w:tmpl w:val="D946D0DC"/>
    <w:lvl w:ilvl="0" w:tentative="0">
      <w:start w:val="0"/>
      <w:numFmt w:val="bullet"/>
      <w:lvlText w:val="•"/>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4">
    <w:nsid w:val="D999196D"/>
    <w:multiLevelType w:val="multilevel"/>
    <w:tmpl w:val="D999196D"/>
    <w:lvl w:ilvl="0" w:tentative="0">
      <w:start w:val="0"/>
      <w:numFmt w:val="bullet"/>
      <w:lvlText w:val="•"/>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5">
    <w:nsid w:val="DB60A903"/>
    <w:multiLevelType w:val="multilevel"/>
    <w:tmpl w:val="DB60A903"/>
    <w:lvl w:ilvl="0" w:tentative="0">
      <w:start w:val="1"/>
      <w:numFmt w:val="decimal"/>
      <w:pStyle w:val="2"/>
      <w:lvlText w:val="%1."/>
      <w:lvlJc w:val="left"/>
      <w:pPr>
        <w:ind w:left="645" w:hanging="425"/>
      </w:pPr>
      <w:rPr>
        <w:rFonts w:hint="default" w:ascii="仿宋_GB2312" w:hAnsi="仿宋_GB2312" w:eastAsia="仿宋_GB2312" w:cs="仿宋_GB2312"/>
      </w:rPr>
    </w:lvl>
    <w:lvl w:ilvl="1" w:tentative="0">
      <w:start w:val="1"/>
      <w:numFmt w:val="decimal"/>
      <w:pStyle w:val="3"/>
      <w:lvlText w:val="%1.%2."/>
      <w:lvlJc w:val="left"/>
      <w:pPr>
        <w:ind w:left="567" w:hanging="567"/>
      </w:pPr>
      <w:rPr>
        <w:rFonts w:hint="default" w:ascii="仿宋_GB2312" w:hAnsi="仿宋_GB2312" w:eastAsia="仿宋_GB2312" w:cs="仿宋_GB2312"/>
      </w:rPr>
    </w:lvl>
    <w:lvl w:ilvl="2" w:tentative="0">
      <w:start w:val="1"/>
      <w:numFmt w:val="decimal"/>
      <w:pStyle w:val="4"/>
      <w:suff w:val="space"/>
      <w:lvlText w:val="%1.%2.%3."/>
      <w:lvlJc w:val="left"/>
      <w:pPr>
        <w:ind w:left="283" w:leftChars="0" w:hanging="283" w:firstLineChars="0"/>
      </w:pPr>
      <w:rPr>
        <w:rFonts w:hint="default" w:ascii="仿宋_GB2312" w:hAnsi="仿宋_GB2312" w:eastAsia="仿宋_GB2312" w:cs="仿宋_GB2312"/>
      </w:rPr>
    </w:lvl>
    <w:lvl w:ilvl="3" w:tentative="0">
      <w:start w:val="1"/>
      <w:numFmt w:val="decimal"/>
      <w:lvlText w:val="%1.%2.%3.%4."/>
      <w:lvlJc w:val="left"/>
      <w:pPr>
        <w:ind w:left="850" w:hanging="850"/>
      </w:pPr>
      <w:rPr>
        <w:rFonts w:hint="default" w:ascii="仿宋_GB2312" w:hAnsi="仿宋_GB2312" w:eastAsia="仿宋_GB2312" w:cs="仿宋_GB2312"/>
      </w:rPr>
    </w:lvl>
    <w:lvl w:ilvl="4" w:tentative="0">
      <w:start w:val="1"/>
      <w:numFmt w:val="decimal"/>
      <w:pStyle w:val="6"/>
      <w:lvlText w:val="%1.%2.%3.%4.%5."/>
      <w:lvlJc w:val="left"/>
      <w:pPr>
        <w:ind w:left="991" w:hanging="991"/>
      </w:pPr>
      <w:rPr>
        <w:rFonts w:hint="default" w:ascii="微软雅黑" w:hAnsi="微软雅黑" w:eastAsia="仿宋_GB2312"/>
      </w:rPr>
    </w:lvl>
    <w:lvl w:ilvl="5" w:tentative="0">
      <w:start w:val="1"/>
      <w:numFmt w:val="decimal"/>
      <w:pStyle w:val="7"/>
      <w:lvlText w:val="%1.%2.%3.%4.%5.%6."/>
      <w:lvlJc w:val="left"/>
      <w:pPr>
        <w:ind w:left="1134" w:hanging="1134"/>
      </w:pPr>
      <w:rPr>
        <w:rFonts w:hint="default"/>
      </w:rPr>
    </w:lvl>
    <w:lvl w:ilvl="6" w:tentative="0">
      <w:start w:val="1"/>
      <w:numFmt w:val="decimal"/>
      <w:pStyle w:val="8"/>
      <w:lvlText w:val="%1.%2.%3.%4.%5.%6.%7."/>
      <w:lvlJc w:val="left"/>
      <w:pPr>
        <w:ind w:left="1275" w:hanging="1275"/>
      </w:pPr>
      <w:rPr>
        <w:rFonts w:hint="default"/>
      </w:rPr>
    </w:lvl>
    <w:lvl w:ilvl="7" w:tentative="0">
      <w:start w:val="1"/>
      <w:numFmt w:val="decimal"/>
      <w:pStyle w:val="9"/>
      <w:lvlText w:val="%1.%2.%3.%4.%5.%6.%7.%8."/>
      <w:lvlJc w:val="left"/>
      <w:pPr>
        <w:ind w:left="1418" w:hanging="1418"/>
      </w:pPr>
      <w:rPr>
        <w:rFonts w:hint="default"/>
      </w:rPr>
    </w:lvl>
    <w:lvl w:ilvl="8" w:tentative="0">
      <w:start w:val="1"/>
      <w:numFmt w:val="decimal"/>
      <w:pStyle w:val="10"/>
      <w:lvlText w:val="%1.%2.%3.%4.%5.%6.%7.%8.%9."/>
      <w:lvlJc w:val="left"/>
      <w:pPr>
        <w:ind w:left="1558" w:hanging="1558"/>
      </w:pPr>
      <w:rPr>
        <w:rFonts w:hint="default"/>
      </w:rPr>
    </w:lvl>
  </w:abstractNum>
  <w:abstractNum w:abstractNumId="26">
    <w:nsid w:val="DB785326"/>
    <w:multiLevelType w:val="multilevel"/>
    <w:tmpl w:val="DB785326"/>
    <w:lvl w:ilvl="0" w:tentative="0">
      <w:start w:val="0"/>
      <w:numFmt w:val="bullet"/>
      <w:lvlText w:val="•"/>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7">
    <w:nsid w:val="DCCBF07C"/>
    <w:multiLevelType w:val="multilevel"/>
    <w:tmpl w:val="DCCBF07C"/>
    <w:lvl w:ilvl="0" w:tentative="0">
      <w:start w:val="0"/>
      <w:numFmt w:val="bullet"/>
      <w:lvlText w:val="￮"/>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8">
    <w:nsid w:val="DFCBF315"/>
    <w:multiLevelType w:val="multilevel"/>
    <w:tmpl w:val="DFCBF315"/>
    <w:lvl w:ilvl="0" w:tentative="0">
      <w:start w:val="2"/>
      <w:numFmt w:val="decimal"/>
      <w:lvlText w:val="%1."/>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9">
    <w:nsid w:val="E233FD86"/>
    <w:multiLevelType w:val="multilevel"/>
    <w:tmpl w:val="E233FD86"/>
    <w:lvl w:ilvl="0" w:tentative="0">
      <w:start w:val="1"/>
      <w:numFmt w:val="decimal"/>
      <w:lvlText w:val="%1."/>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30">
    <w:nsid w:val="E40BE1C3"/>
    <w:multiLevelType w:val="multilevel"/>
    <w:tmpl w:val="E40BE1C3"/>
    <w:lvl w:ilvl="0" w:tentative="0">
      <w:start w:val="0"/>
      <w:numFmt w:val="bullet"/>
      <w:lvlText w:val="￮"/>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31">
    <w:nsid w:val="E492A3BC"/>
    <w:multiLevelType w:val="multilevel"/>
    <w:tmpl w:val="E492A3BC"/>
    <w:lvl w:ilvl="0" w:tentative="0">
      <w:start w:val="0"/>
      <w:numFmt w:val="bullet"/>
      <w:lvlText w:val="•"/>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32">
    <w:nsid w:val="E9074614"/>
    <w:multiLevelType w:val="multilevel"/>
    <w:tmpl w:val="E9074614"/>
    <w:lvl w:ilvl="0" w:tentative="0">
      <w:start w:val="0"/>
      <w:numFmt w:val="bullet"/>
      <w:lvlText w:val="•"/>
      <w:lvlJc w:val="left"/>
      <w:pPr>
        <w:ind w:left="0" w:firstLine="0"/>
      </w:pPr>
      <w:rPr>
        <w:rFonts w:hint="default" w:ascii="Times New Roman" w:hAnsi="Times New Roman" w:cs="Times New Roman"/>
        <w:color w:val="auto"/>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33">
    <w:nsid w:val="EE79A1F0"/>
    <w:multiLevelType w:val="multilevel"/>
    <w:tmpl w:val="EE79A1F0"/>
    <w:lvl w:ilvl="0" w:tentative="0">
      <w:start w:val="0"/>
      <w:numFmt w:val="bullet"/>
      <w:lvlText w:val="￮"/>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34">
    <w:nsid w:val="F66CC131"/>
    <w:multiLevelType w:val="multilevel"/>
    <w:tmpl w:val="F66CC131"/>
    <w:lvl w:ilvl="0" w:tentative="0">
      <w:start w:val="0"/>
      <w:numFmt w:val="bullet"/>
      <w:lvlText w:val="•"/>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35">
    <w:nsid w:val="F8FFEAAC"/>
    <w:multiLevelType w:val="multilevel"/>
    <w:tmpl w:val="F8FFEAAC"/>
    <w:lvl w:ilvl="0" w:tentative="0">
      <w:start w:val="2"/>
      <w:numFmt w:val="decimal"/>
      <w:lvlText w:val="%1."/>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36">
    <w:nsid w:val="F9439321"/>
    <w:multiLevelType w:val="multilevel"/>
    <w:tmpl w:val="F9439321"/>
    <w:lvl w:ilvl="0" w:tentative="0">
      <w:start w:val="0"/>
      <w:numFmt w:val="bullet"/>
      <w:lvlText w:val="￮"/>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37">
    <w:nsid w:val="FA9E2631"/>
    <w:multiLevelType w:val="multilevel"/>
    <w:tmpl w:val="FA9E2631"/>
    <w:lvl w:ilvl="0" w:tentative="0">
      <w:start w:val="0"/>
      <w:numFmt w:val="bullet"/>
      <w:lvlText w:val="▪"/>
      <w:lvlJc w:val="left"/>
      <w:pPr>
        <w:ind w:left="0" w:firstLine="0"/>
      </w:pPr>
      <w:rPr>
        <w:rFonts w:hint="default" w:ascii="Times New Roman" w:hAnsi="Times New Roman" w:cs="Times New Roman"/>
        <w:color w:val="3370FF"/>
        <w:sz w:val="11"/>
        <w:szCs w:val="11"/>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38">
    <w:nsid w:val="FD8F4A16"/>
    <w:multiLevelType w:val="multilevel"/>
    <w:tmpl w:val="FD8F4A16"/>
    <w:lvl w:ilvl="0" w:tentative="0">
      <w:start w:val="0"/>
      <w:numFmt w:val="bullet"/>
      <w:lvlText w:val="▪"/>
      <w:lvlJc w:val="left"/>
      <w:pPr>
        <w:ind w:left="0" w:firstLine="0"/>
      </w:pPr>
      <w:rPr>
        <w:rFonts w:hint="default" w:ascii="Times New Roman" w:hAnsi="Times New Roman" w:cs="Times New Roman"/>
        <w:color w:val="3370FF"/>
        <w:sz w:val="11"/>
        <w:szCs w:val="11"/>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39">
    <w:nsid w:val="FF2AE84F"/>
    <w:multiLevelType w:val="multilevel"/>
    <w:tmpl w:val="FF2AE84F"/>
    <w:lvl w:ilvl="0" w:tentative="0">
      <w:start w:val="0"/>
      <w:numFmt w:val="bullet"/>
      <w:lvlText w:val="•"/>
      <w:lvlJc w:val="left"/>
      <w:pPr>
        <w:ind w:left="0" w:firstLine="0"/>
      </w:pPr>
      <w:rPr>
        <w:rFonts w:hint="default" w:ascii="Times New Roman" w:hAnsi="Times New Roman" w:cs="Times New Roman"/>
        <w:color w:val="auto"/>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40">
    <w:nsid w:val="063D263A"/>
    <w:multiLevelType w:val="multilevel"/>
    <w:tmpl w:val="063D263A"/>
    <w:lvl w:ilvl="0" w:tentative="0">
      <w:start w:val="0"/>
      <w:numFmt w:val="bullet"/>
      <w:lvlText w:val="•"/>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41">
    <w:nsid w:val="076CADD3"/>
    <w:multiLevelType w:val="multilevel"/>
    <w:tmpl w:val="076CADD3"/>
    <w:lvl w:ilvl="0" w:tentative="0">
      <w:start w:val="0"/>
      <w:numFmt w:val="bullet"/>
      <w:lvlText w:val="￮"/>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42">
    <w:nsid w:val="0C0CDE2F"/>
    <w:multiLevelType w:val="multilevel"/>
    <w:tmpl w:val="0C0CDE2F"/>
    <w:lvl w:ilvl="0" w:tentative="0">
      <w:start w:val="0"/>
      <w:numFmt w:val="bullet"/>
      <w:lvlText w:val="•"/>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43">
    <w:nsid w:val="0F556D26"/>
    <w:multiLevelType w:val="multilevel"/>
    <w:tmpl w:val="0F556D26"/>
    <w:lvl w:ilvl="0" w:tentative="0">
      <w:start w:val="0"/>
      <w:numFmt w:val="bullet"/>
      <w:lvlText w:val="￮"/>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44">
    <w:nsid w:val="108F6E3B"/>
    <w:multiLevelType w:val="multilevel"/>
    <w:tmpl w:val="108F6E3B"/>
    <w:lvl w:ilvl="0" w:tentative="0">
      <w:start w:val="1"/>
      <w:numFmt w:val="decimal"/>
      <w:lvlText w:val="%1."/>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45">
    <w:nsid w:val="1354DE35"/>
    <w:multiLevelType w:val="multilevel"/>
    <w:tmpl w:val="1354DE35"/>
    <w:lvl w:ilvl="0" w:tentative="0">
      <w:start w:val="0"/>
      <w:numFmt w:val="bullet"/>
      <w:lvlText w:val="•"/>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46">
    <w:nsid w:val="18DC95C4"/>
    <w:multiLevelType w:val="multilevel"/>
    <w:tmpl w:val="18DC95C4"/>
    <w:lvl w:ilvl="0" w:tentative="0">
      <w:start w:val="0"/>
      <w:numFmt w:val="bullet"/>
      <w:lvlText w:val="￮"/>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47">
    <w:nsid w:val="1D3F1AA2"/>
    <w:multiLevelType w:val="multilevel"/>
    <w:tmpl w:val="1D3F1AA2"/>
    <w:lvl w:ilvl="0" w:tentative="0">
      <w:start w:val="0"/>
      <w:numFmt w:val="bullet"/>
      <w:lvlText w:val="￮"/>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48">
    <w:nsid w:val="1E5E2FA9"/>
    <w:multiLevelType w:val="multilevel"/>
    <w:tmpl w:val="1E5E2FA9"/>
    <w:lvl w:ilvl="0" w:tentative="0">
      <w:start w:val="0"/>
      <w:numFmt w:val="bullet"/>
      <w:lvlText w:val="•"/>
      <w:lvlJc w:val="left"/>
      <w:pPr>
        <w:ind w:left="0" w:firstLine="0"/>
      </w:pPr>
      <w:rPr>
        <w:rFonts w:hint="default" w:ascii="Times New Roman" w:hAnsi="Times New Roman" w:cs="Times New Roman"/>
        <w:color w:val="auto"/>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49">
    <w:nsid w:val="1E7DD271"/>
    <w:multiLevelType w:val="multilevel"/>
    <w:tmpl w:val="1E7DD271"/>
    <w:lvl w:ilvl="0" w:tentative="0">
      <w:start w:val="0"/>
      <w:numFmt w:val="bullet"/>
      <w:lvlText w:val="￮"/>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50">
    <w:nsid w:val="1E8AF3AD"/>
    <w:multiLevelType w:val="multilevel"/>
    <w:tmpl w:val="1E8AF3AD"/>
    <w:lvl w:ilvl="0" w:tentative="0">
      <w:start w:val="0"/>
      <w:numFmt w:val="bullet"/>
      <w:lvlText w:val="￮"/>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51">
    <w:nsid w:val="22509D4C"/>
    <w:multiLevelType w:val="multilevel"/>
    <w:tmpl w:val="22509D4C"/>
    <w:lvl w:ilvl="0" w:tentative="0">
      <w:start w:val="0"/>
      <w:numFmt w:val="bullet"/>
      <w:lvlText w:val="•"/>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52">
    <w:nsid w:val="228CD398"/>
    <w:multiLevelType w:val="multilevel"/>
    <w:tmpl w:val="228CD398"/>
    <w:lvl w:ilvl="0" w:tentative="0">
      <w:start w:val="0"/>
      <w:numFmt w:val="bullet"/>
      <w:lvlText w:val="￮"/>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53">
    <w:nsid w:val="22A2F488"/>
    <w:multiLevelType w:val="multilevel"/>
    <w:tmpl w:val="22A2F488"/>
    <w:lvl w:ilvl="0" w:tentative="0">
      <w:start w:val="1"/>
      <w:numFmt w:val="decimal"/>
      <w:lvlText w:val="%1."/>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54">
    <w:nsid w:val="2665F2E8"/>
    <w:multiLevelType w:val="multilevel"/>
    <w:tmpl w:val="2665F2E8"/>
    <w:lvl w:ilvl="0" w:tentative="0">
      <w:start w:val="3"/>
      <w:numFmt w:val="decimal"/>
      <w:lvlText w:val="%1."/>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55">
    <w:nsid w:val="266F6D26"/>
    <w:multiLevelType w:val="multilevel"/>
    <w:tmpl w:val="266F6D26"/>
    <w:lvl w:ilvl="0" w:tentative="0">
      <w:start w:val="0"/>
      <w:numFmt w:val="bullet"/>
      <w:lvlText w:val="•"/>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56">
    <w:nsid w:val="2C037FFE"/>
    <w:multiLevelType w:val="multilevel"/>
    <w:tmpl w:val="2C037FFE"/>
    <w:lvl w:ilvl="0" w:tentative="0">
      <w:start w:val="0"/>
      <w:numFmt w:val="bullet"/>
      <w:lvlText w:val="￮"/>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57">
    <w:nsid w:val="30B6333F"/>
    <w:multiLevelType w:val="multilevel"/>
    <w:tmpl w:val="30B6333F"/>
    <w:lvl w:ilvl="0" w:tentative="0">
      <w:start w:val="1"/>
      <w:numFmt w:val="decimal"/>
      <w:lvlText w:val="%1."/>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58">
    <w:nsid w:val="355ED189"/>
    <w:multiLevelType w:val="multilevel"/>
    <w:tmpl w:val="355ED189"/>
    <w:lvl w:ilvl="0" w:tentative="0">
      <w:start w:val="3"/>
      <w:numFmt w:val="decimal"/>
      <w:lvlText w:val="%1."/>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59">
    <w:nsid w:val="37A6BAC5"/>
    <w:multiLevelType w:val="multilevel"/>
    <w:tmpl w:val="37A6BAC5"/>
    <w:lvl w:ilvl="0" w:tentative="0">
      <w:start w:val="0"/>
      <w:numFmt w:val="bullet"/>
      <w:lvlText w:val="•"/>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60">
    <w:nsid w:val="3A18B38F"/>
    <w:multiLevelType w:val="multilevel"/>
    <w:tmpl w:val="3A18B38F"/>
    <w:lvl w:ilvl="0" w:tentative="0">
      <w:start w:val="0"/>
      <w:numFmt w:val="bullet"/>
      <w:lvlText w:val="•"/>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61">
    <w:nsid w:val="3B07AC5E"/>
    <w:multiLevelType w:val="multilevel"/>
    <w:tmpl w:val="3B07AC5E"/>
    <w:lvl w:ilvl="0" w:tentative="0">
      <w:start w:val="0"/>
      <w:numFmt w:val="bullet"/>
      <w:lvlText w:val="•"/>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62">
    <w:nsid w:val="3B166116"/>
    <w:multiLevelType w:val="multilevel"/>
    <w:tmpl w:val="3B166116"/>
    <w:lvl w:ilvl="0" w:tentative="0">
      <w:start w:val="2"/>
      <w:numFmt w:val="decimal"/>
      <w:lvlText w:val="%1."/>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63">
    <w:nsid w:val="407B9515"/>
    <w:multiLevelType w:val="multilevel"/>
    <w:tmpl w:val="407B9515"/>
    <w:lvl w:ilvl="0" w:tentative="0">
      <w:start w:val="0"/>
      <w:numFmt w:val="bullet"/>
      <w:lvlText w:val="￮"/>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64">
    <w:nsid w:val="422EEBE8"/>
    <w:multiLevelType w:val="multilevel"/>
    <w:tmpl w:val="422EEBE8"/>
    <w:lvl w:ilvl="0" w:tentative="0">
      <w:start w:val="0"/>
      <w:numFmt w:val="bullet"/>
      <w:lvlText w:val="•"/>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65">
    <w:nsid w:val="436B896D"/>
    <w:multiLevelType w:val="multilevel"/>
    <w:tmpl w:val="436B896D"/>
    <w:lvl w:ilvl="0" w:tentative="0">
      <w:start w:val="0"/>
      <w:numFmt w:val="bullet"/>
      <w:lvlText w:val="•"/>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66">
    <w:nsid w:val="463166C7"/>
    <w:multiLevelType w:val="multilevel"/>
    <w:tmpl w:val="463166C7"/>
    <w:lvl w:ilvl="0" w:tentative="0">
      <w:start w:val="2"/>
      <w:numFmt w:val="decimal"/>
      <w:lvlText w:val="%1."/>
      <w:lvlJc w:val="left"/>
      <w:pPr>
        <w:ind w:left="0" w:firstLine="0"/>
      </w:pPr>
      <w:rPr>
        <w:rFonts w:hint="default" w:ascii="Times New Roman" w:hAnsi="Times New Roman" w:cs="Times New Roman"/>
        <w:color w:val="auto"/>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67">
    <w:nsid w:val="55461302"/>
    <w:multiLevelType w:val="multilevel"/>
    <w:tmpl w:val="55461302"/>
    <w:lvl w:ilvl="0" w:tentative="0">
      <w:start w:val="3"/>
      <w:numFmt w:val="decimal"/>
      <w:lvlText w:val="%1."/>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68">
    <w:nsid w:val="554FAC07"/>
    <w:multiLevelType w:val="multilevel"/>
    <w:tmpl w:val="554FAC07"/>
    <w:lvl w:ilvl="0" w:tentative="0">
      <w:start w:val="0"/>
      <w:numFmt w:val="bullet"/>
      <w:lvlText w:val="•"/>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69">
    <w:nsid w:val="5E2AE8A8"/>
    <w:multiLevelType w:val="multilevel"/>
    <w:tmpl w:val="5E2AE8A8"/>
    <w:lvl w:ilvl="0" w:tentative="0">
      <w:start w:val="0"/>
      <w:numFmt w:val="bullet"/>
      <w:lvlText w:val="￮"/>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70">
    <w:nsid w:val="5EBF6C1A"/>
    <w:multiLevelType w:val="multilevel"/>
    <w:tmpl w:val="5EBF6C1A"/>
    <w:lvl w:ilvl="0" w:tentative="0">
      <w:start w:val="0"/>
      <w:numFmt w:val="bullet"/>
      <w:lvlText w:val="￮"/>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71">
    <w:nsid w:val="5F52DE57"/>
    <w:multiLevelType w:val="multilevel"/>
    <w:tmpl w:val="5F52DE57"/>
    <w:lvl w:ilvl="0" w:tentative="0">
      <w:start w:val="0"/>
      <w:numFmt w:val="bullet"/>
      <w:lvlText w:val="￮"/>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72">
    <w:nsid w:val="6168B061"/>
    <w:multiLevelType w:val="multilevel"/>
    <w:tmpl w:val="6168B061"/>
    <w:lvl w:ilvl="0" w:tentative="0">
      <w:start w:val="0"/>
      <w:numFmt w:val="bullet"/>
      <w:lvlText w:val="￮"/>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73">
    <w:nsid w:val="626449B1"/>
    <w:multiLevelType w:val="multilevel"/>
    <w:tmpl w:val="626449B1"/>
    <w:lvl w:ilvl="0" w:tentative="0">
      <w:start w:val="0"/>
      <w:numFmt w:val="bullet"/>
      <w:lvlText w:val="•"/>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74">
    <w:nsid w:val="63A1DBA2"/>
    <w:multiLevelType w:val="multilevel"/>
    <w:tmpl w:val="63A1DBA2"/>
    <w:lvl w:ilvl="0" w:tentative="0">
      <w:start w:val="0"/>
      <w:numFmt w:val="bullet"/>
      <w:lvlText w:val="•"/>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75">
    <w:nsid w:val="67019406"/>
    <w:multiLevelType w:val="multilevel"/>
    <w:tmpl w:val="67019406"/>
    <w:lvl w:ilvl="0" w:tentative="0">
      <w:start w:val="0"/>
      <w:numFmt w:val="bullet"/>
      <w:lvlText w:val="•"/>
      <w:lvlJc w:val="left"/>
      <w:pPr>
        <w:ind w:left="0" w:firstLine="0"/>
      </w:pPr>
      <w:rPr>
        <w:rFonts w:hint="default" w:ascii="Times New Roman" w:hAnsi="Times New Roman" w:cs="Times New Roman"/>
        <w:color w:val="auto"/>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76">
    <w:nsid w:val="69115FC3"/>
    <w:multiLevelType w:val="multilevel"/>
    <w:tmpl w:val="69115FC3"/>
    <w:lvl w:ilvl="0" w:tentative="0">
      <w:start w:val="0"/>
      <w:numFmt w:val="bullet"/>
      <w:lvlText w:val="•"/>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77">
    <w:nsid w:val="6CCB26B7"/>
    <w:multiLevelType w:val="multilevel"/>
    <w:tmpl w:val="6CCB26B7"/>
    <w:lvl w:ilvl="0" w:tentative="0">
      <w:start w:val="0"/>
      <w:numFmt w:val="bullet"/>
      <w:lvlText w:val="•"/>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78">
    <w:nsid w:val="6F02E943"/>
    <w:multiLevelType w:val="multilevel"/>
    <w:tmpl w:val="6F02E943"/>
    <w:lvl w:ilvl="0" w:tentative="0">
      <w:start w:val="1"/>
      <w:numFmt w:val="decimal"/>
      <w:lvlText w:val="%1."/>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79">
    <w:nsid w:val="71D63900"/>
    <w:multiLevelType w:val="multilevel"/>
    <w:tmpl w:val="71D63900"/>
    <w:lvl w:ilvl="0" w:tentative="0">
      <w:start w:val="0"/>
      <w:numFmt w:val="bullet"/>
      <w:lvlText w:val="￮"/>
      <w:lvlJc w:val="left"/>
      <w:pPr>
        <w:ind w:left="0" w:firstLine="0"/>
      </w:pPr>
      <w:rPr>
        <w:rFonts w:hint="default" w:ascii="Times New Roman" w:hAnsi="Times New Roman" w:cs="Times New Roman"/>
        <w:color w:val="3370FF"/>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80">
    <w:nsid w:val="73F11CE3"/>
    <w:multiLevelType w:val="multilevel"/>
    <w:tmpl w:val="73F11CE3"/>
    <w:lvl w:ilvl="0" w:tentative="0">
      <w:start w:val="0"/>
      <w:numFmt w:val="bullet"/>
      <w:lvlText w:val="▪"/>
      <w:lvlJc w:val="left"/>
      <w:pPr>
        <w:ind w:left="0" w:firstLine="0"/>
      </w:pPr>
      <w:rPr>
        <w:rFonts w:hint="default" w:ascii="Times New Roman" w:hAnsi="Times New Roman" w:cs="Times New Roman"/>
        <w:color w:val="3370FF"/>
        <w:sz w:val="11"/>
        <w:szCs w:val="11"/>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num w:numId="1">
    <w:abstractNumId w:val="25"/>
  </w:num>
  <w:num w:numId="2">
    <w:abstractNumId w:val="48"/>
  </w:num>
  <w:num w:numId="3">
    <w:abstractNumId w:val="7"/>
  </w:num>
  <w:num w:numId="4">
    <w:abstractNumId w:val="32"/>
  </w:num>
  <w:num w:numId="5">
    <w:abstractNumId w:val="5"/>
  </w:num>
  <w:num w:numId="6">
    <w:abstractNumId w:val="66"/>
  </w:num>
  <w:num w:numId="7">
    <w:abstractNumId w:val="18"/>
  </w:num>
  <w:num w:numId="8">
    <w:abstractNumId w:val="39"/>
  </w:num>
  <w:num w:numId="9">
    <w:abstractNumId w:val="75"/>
  </w:num>
  <w:num w:numId="10">
    <w:abstractNumId w:val="26"/>
  </w:num>
  <w:num w:numId="11">
    <w:abstractNumId w:val="6"/>
  </w:num>
  <w:num w:numId="12">
    <w:abstractNumId w:val="76"/>
  </w:num>
  <w:num w:numId="13">
    <w:abstractNumId w:val="61"/>
  </w:num>
  <w:num w:numId="14">
    <w:abstractNumId w:val="22"/>
  </w:num>
  <w:num w:numId="15">
    <w:abstractNumId w:val="40"/>
  </w:num>
  <w:num w:numId="16">
    <w:abstractNumId w:val="73"/>
  </w:num>
  <w:num w:numId="17">
    <w:abstractNumId w:val="15"/>
  </w:num>
  <w:num w:numId="18">
    <w:abstractNumId w:val="34"/>
  </w:num>
  <w:num w:numId="19">
    <w:abstractNumId w:val="29"/>
  </w:num>
  <w:num w:numId="20">
    <w:abstractNumId w:val="21"/>
  </w:num>
  <w:num w:numId="21">
    <w:abstractNumId w:val="54"/>
  </w:num>
  <w:num w:numId="22">
    <w:abstractNumId w:val="74"/>
  </w:num>
  <w:num w:numId="23">
    <w:abstractNumId w:val="60"/>
  </w:num>
  <w:num w:numId="24">
    <w:abstractNumId w:val="23"/>
  </w:num>
  <w:num w:numId="25">
    <w:abstractNumId w:val="57"/>
  </w:num>
  <w:num w:numId="26">
    <w:abstractNumId w:val="28"/>
  </w:num>
  <w:num w:numId="27">
    <w:abstractNumId w:val="58"/>
  </w:num>
  <w:num w:numId="28">
    <w:abstractNumId w:val="24"/>
  </w:num>
  <w:num w:numId="29">
    <w:abstractNumId w:val="10"/>
  </w:num>
  <w:num w:numId="30">
    <w:abstractNumId w:val="77"/>
  </w:num>
  <w:num w:numId="31">
    <w:abstractNumId w:val="53"/>
  </w:num>
  <w:num w:numId="32">
    <w:abstractNumId w:val="62"/>
  </w:num>
  <w:num w:numId="33">
    <w:abstractNumId w:val="67"/>
  </w:num>
  <w:num w:numId="34">
    <w:abstractNumId w:val="45"/>
  </w:num>
  <w:num w:numId="35">
    <w:abstractNumId w:val="64"/>
  </w:num>
  <w:num w:numId="36">
    <w:abstractNumId w:val="51"/>
  </w:num>
  <w:num w:numId="37">
    <w:abstractNumId w:val="78"/>
  </w:num>
  <w:num w:numId="38">
    <w:abstractNumId w:val="13"/>
  </w:num>
  <w:num w:numId="39">
    <w:abstractNumId w:val="16"/>
  </w:num>
  <w:num w:numId="40">
    <w:abstractNumId w:val="52"/>
  </w:num>
  <w:num w:numId="41">
    <w:abstractNumId w:val="19"/>
  </w:num>
  <w:num w:numId="42">
    <w:abstractNumId w:val="80"/>
  </w:num>
  <w:num w:numId="43">
    <w:abstractNumId w:val="38"/>
  </w:num>
  <w:num w:numId="44">
    <w:abstractNumId w:val="37"/>
  </w:num>
  <w:num w:numId="45">
    <w:abstractNumId w:val="72"/>
  </w:num>
  <w:num w:numId="46">
    <w:abstractNumId w:val="2"/>
  </w:num>
  <w:num w:numId="47">
    <w:abstractNumId w:val="30"/>
  </w:num>
  <w:num w:numId="48">
    <w:abstractNumId w:val="1"/>
  </w:num>
  <w:num w:numId="49">
    <w:abstractNumId w:val="79"/>
  </w:num>
  <w:num w:numId="50">
    <w:abstractNumId w:val="63"/>
  </w:num>
  <w:num w:numId="51">
    <w:abstractNumId w:val="14"/>
  </w:num>
  <w:num w:numId="52">
    <w:abstractNumId w:val="17"/>
  </w:num>
  <w:num w:numId="53">
    <w:abstractNumId w:val="70"/>
  </w:num>
  <w:num w:numId="54">
    <w:abstractNumId w:val="20"/>
  </w:num>
  <w:num w:numId="55">
    <w:abstractNumId w:val="11"/>
  </w:num>
  <w:num w:numId="56">
    <w:abstractNumId w:val="50"/>
  </w:num>
  <w:num w:numId="57">
    <w:abstractNumId w:val="41"/>
  </w:num>
  <w:num w:numId="58">
    <w:abstractNumId w:val="44"/>
  </w:num>
  <w:num w:numId="59">
    <w:abstractNumId w:val="35"/>
  </w:num>
  <w:num w:numId="60">
    <w:abstractNumId w:val="12"/>
  </w:num>
  <w:num w:numId="61">
    <w:abstractNumId w:val="42"/>
  </w:num>
  <w:num w:numId="62">
    <w:abstractNumId w:val="59"/>
  </w:num>
  <w:num w:numId="63">
    <w:abstractNumId w:val="68"/>
  </w:num>
  <w:num w:numId="64">
    <w:abstractNumId w:val="56"/>
  </w:num>
  <w:num w:numId="65">
    <w:abstractNumId w:val="27"/>
  </w:num>
  <w:num w:numId="66">
    <w:abstractNumId w:val="8"/>
  </w:num>
  <w:num w:numId="67">
    <w:abstractNumId w:val="71"/>
  </w:num>
  <w:num w:numId="68">
    <w:abstractNumId w:val="49"/>
  </w:num>
  <w:num w:numId="69">
    <w:abstractNumId w:val="46"/>
  </w:num>
  <w:num w:numId="70">
    <w:abstractNumId w:val="33"/>
  </w:num>
  <w:num w:numId="71">
    <w:abstractNumId w:val="47"/>
  </w:num>
  <w:num w:numId="72">
    <w:abstractNumId w:val="43"/>
  </w:num>
  <w:num w:numId="73">
    <w:abstractNumId w:val="0"/>
  </w:num>
  <w:num w:numId="74">
    <w:abstractNumId w:val="69"/>
  </w:num>
  <w:num w:numId="75">
    <w:abstractNumId w:val="36"/>
  </w:num>
  <w:num w:numId="76">
    <w:abstractNumId w:val="31"/>
  </w:num>
  <w:num w:numId="77">
    <w:abstractNumId w:val="4"/>
  </w:num>
  <w:num w:numId="78">
    <w:abstractNumId w:val="65"/>
  </w:num>
  <w:num w:numId="79">
    <w:abstractNumId w:val="3"/>
  </w:num>
  <w:num w:numId="80">
    <w:abstractNumId w:val="55"/>
  </w:num>
  <w:num w:numId="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 w:name="KSO_WPS_MARK_KEY" w:val="2d668a73-8a8a-4dc3-9058-ac531121603a"/>
  </w:docVars>
  <w:rsids>
    <w:rsidRoot w:val="54C640A5"/>
    <w:rsid w:val="00592E2B"/>
    <w:rsid w:val="046537C1"/>
    <w:rsid w:val="05453453"/>
    <w:rsid w:val="05A942B4"/>
    <w:rsid w:val="10C42758"/>
    <w:rsid w:val="111D6783"/>
    <w:rsid w:val="116826F2"/>
    <w:rsid w:val="184F2302"/>
    <w:rsid w:val="18936508"/>
    <w:rsid w:val="22634E4D"/>
    <w:rsid w:val="29810539"/>
    <w:rsid w:val="2E1F49CD"/>
    <w:rsid w:val="2F3803C2"/>
    <w:rsid w:val="305C6614"/>
    <w:rsid w:val="378D4FDB"/>
    <w:rsid w:val="3CB62EF8"/>
    <w:rsid w:val="40266F2E"/>
    <w:rsid w:val="478309E1"/>
    <w:rsid w:val="492F63AD"/>
    <w:rsid w:val="4F0C7C8F"/>
    <w:rsid w:val="51955A22"/>
    <w:rsid w:val="54C640A5"/>
    <w:rsid w:val="56466840"/>
    <w:rsid w:val="57AB79F3"/>
    <w:rsid w:val="5CBB0AC5"/>
    <w:rsid w:val="779B2A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after="50" w:afterLines="50" w:line="312" w:lineRule="auto"/>
      <w:ind w:firstLine="803" w:firstLineChars="200"/>
      <w:jc w:val="both"/>
    </w:pPr>
    <w:rPr>
      <w:rFonts w:eastAsia="仿宋_GB2312" w:asciiTheme="minorAscii" w:hAnsiTheme="minorAscii" w:cstheme="minorBidi"/>
      <w:snapToGrid/>
      <w:kern w:val="2"/>
      <w:sz w:val="22"/>
      <w:szCs w:val="24"/>
      <w:lang w:val="en-US" w:eastAsia="zh-CN" w:bidi="ar-SA"/>
    </w:rPr>
  </w:style>
  <w:style w:type="paragraph" w:styleId="2">
    <w:name w:val="heading 1"/>
    <w:next w:val="1"/>
    <w:qFormat/>
    <w:uiPriority w:val="9"/>
    <w:pPr>
      <w:keepNext/>
      <w:keepLines/>
      <w:numPr>
        <w:ilvl w:val="0"/>
        <w:numId w:val="1"/>
      </w:numPr>
      <w:tabs>
        <w:tab w:val="left" w:pos="0"/>
      </w:tabs>
      <w:bidi w:val="0"/>
      <w:spacing w:before="50" w:beforeLines="50" w:line="288" w:lineRule="auto"/>
      <w:ind w:left="645" w:leftChars="0" w:hanging="425" w:firstLineChars="0"/>
      <w:outlineLvl w:val="0"/>
    </w:pPr>
    <w:rPr>
      <w:rFonts w:ascii="Arial" w:hAnsi="Arial" w:eastAsia="仿宋_GB2312" w:cstheme="minorBidi"/>
      <w:b/>
      <w:bCs/>
      <w:kern w:val="44"/>
      <w:sz w:val="32"/>
      <w:szCs w:val="21"/>
      <w:lang w:val="en-US" w:eastAsia="zh-CN"/>
    </w:rPr>
  </w:style>
  <w:style w:type="paragraph" w:styleId="3">
    <w:name w:val="heading 2"/>
    <w:next w:val="1"/>
    <w:unhideWhenUsed/>
    <w:qFormat/>
    <w:uiPriority w:val="9"/>
    <w:pPr>
      <w:numPr>
        <w:ilvl w:val="1"/>
        <w:numId w:val="1"/>
      </w:numPr>
      <w:tabs>
        <w:tab w:val="left" w:pos="0"/>
      </w:tabs>
      <w:spacing w:before="50" w:after="50"/>
      <w:ind w:left="567" w:hanging="567"/>
      <w:outlineLvl w:val="1"/>
    </w:pPr>
    <w:rPr>
      <w:rFonts w:ascii="Arial" w:hAnsi="Arial" w:eastAsia="仿宋_GB2312" w:cstheme="minorBidi"/>
      <w:b/>
      <w:kern w:val="2"/>
      <w:sz w:val="30"/>
    </w:rPr>
  </w:style>
  <w:style w:type="paragraph" w:styleId="4">
    <w:name w:val="heading 3"/>
    <w:next w:val="1"/>
    <w:link w:val="24"/>
    <w:unhideWhenUsed/>
    <w:qFormat/>
    <w:uiPriority w:val="9"/>
    <w:pPr>
      <w:numPr>
        <w:ilvl w:val="2"/>
        <w:numId w:val="1"/>
      </w:numPr>
      <w:tabs>
        <w:tab w:val="left" w:pos="312"/>
      </w:tabs>
      <w:ind w:left="283" w:hanging="283"/>
      <w:outlineLvl w:val="2"/>
    </w:pPr>
    <w:rPr>
      <w:rFonts w:ascii="Arial" w:hAnsi="Arial" w:eastAsia="仿宋_GB2312" w:cs="Times New Roman"/>
      <w:sz w:val="28"/>
      <w:szCs w:val="30"/>
    </w:rPr>
  </w:style>
  <w:style w:type="paragraph" w:styleId="5">
    <w:name w:val="heading 4"/>
    <w:basedOn w:val="4"/>
    <w:next w:val="1"/>
    <w:link w:val="25"/>
    <w:unhideWhenUsed/>
    <w:qFormat/>
    <w:uiPriority w:val="9"/>
    <w:pPr>
      <w:spacing w:before="30" w:after="30" w:line="288" w:lineRule="auto"/>
      <w:outlineLvl w:val="3"/>
    </w:pPr>
    <w:rPr>
      <w:rFonts w:ascii="Arial" w:hAnsi="Arial" w:eastAsia="宋体"/>
    </w:rPr>
  </w:style>
  <w:style w:type="paragraph" w:styleId="6">
    <w:name w:val="heading 5"/>
    <w:next w:val="1"/>
    <w:link w:val="29"/>
    <w:unhideWhenUsed/>
    <w:qFormat/>
    <w:uiPriority w:val="9"/>
    <w:pPr>
      <w:numPr>
        <w:ilvl w:val="4"/>
        <w:numId w:val="1"/>
      </w:numPr>
      <w:tabs>
        <w:tab w:val="left" w:pos="312"/>
      </w:tabs>
      <w:spacing w:before="30" w:beforeLines="30" w:after="30" w:afterLines="30"/>
      <w:ind w:left="991" w:hanging="991"/>
      <w:outlineLvl w:val="4"/>
    </w:pPr>
    <w:rPr>
      <w:rFonts w:ascii="Arial" w:hAnsi="Arial" w:eastAsia="微软雅黑" w:cstheme="minorBidi"/>
      <w:b/>
      <w:sz w:val="24"/>
      <w:szCs w:val="22"/>
    </w:rPr>
  </w:style>
  <w:style w:type="paragraph" w:styleId="7">
    <w:name w:val="heading 6"/>
    <w:next w:val="1"/>
    <w:link w:val="30"/>
    <w:unhideWhenUsed/>
    <w:qFormat/>
    <w:uiPriority w:val="0"/>
    <w:pPr>
      <w:numPr>
        <w:ilvl w:val="5"/>
        <w:numId w:val="1"/>
      </w:numPr>
      <w:spacing w:before="30" w:beforeLines="30" w:after="30" w:afterLines="30" w:line="312" w:lineRule="auto"/>
      <w:ind w:left="1134" w:hanging="1134"/>
      <w:outlineLvl w:val="5"/>
    </w:pPr>
    <w:rPr>
      <w:rFonts w:ascii="Arial" w:hAnsi="Arial" w:eastAsia="微软雅黑" w:cstheme="minorBidi"/>
      <w:b/>
      <w:sz w:val="24"/>
    </w:rPr>
  </w:style>
  <w:style w:type="paragraph" w:styleId="8">
    <w:name w:val="heading 7"/>
    <w:next w:val="1"/>
    <w:unhideWhenUsed/>
    <w:qFormat/>
    <w:uiPriority w:val="0"/>
    <w:pPr>
      <w:numPr>
        <w:ilvl w:val="6"/>
        <w:numId w:val="1"/>
      </w:numPr>
      <w:spacing w:before="30" w:beforeLines="30" w:after="30" w:afterLines="30" w:line="312" w:lineRule="auto"/>
      <w:ind w:left="1275" w:hanging="1275"/>
      <w:outlineLvl w:val="6"/>
    </w:pPr>
    <w:rPr>
      <w:rFonts w:ascii="Arial" w:hAnsi="Arial" w:eastAsia="微软雅黑" w:cstheme="minorBidi"/>
      <w:b/>
      <w:sz w:val="24"/>
    </w:rPr>
  </w:style>
  <w:style w:type="paragraph" w:styleId="9">
    <w:name w:val="heading 8"/>
    <w:next w:val="1"/>
    <w:unhideWhenUsed/>
    <w:qFormat/>
    <w:uiPriority w:val="0"/>
    <w:pPr>
      <w:numPr>
        <w:ilvl w:val="7"/>
        <w:numId w:val="1"/>
      </w:numPr>
      <w:spacing w:before="30" w:beforeLines="30" w:after="30" w:afterLines="30" w:line="312" w:lineRule="auto"/>
      <w:ind w:left="1418" w:hanging="1418"/>
      <w:outlineLvl w:val="7"/>
    </w:pPr>
    <w:rPr>
      <w:rFonts w:eastAsia="微软雅黑" w:asciiTheme="majorAscii" w:hAnsiTheme="majorAscii" w:cstheme="majorBidi"/>
      <w:b/>
      <w:sz w:val="24"/>
    </w:rPr>
  </w:style>
  <w:style w:type="paragraph" w:styleId="10">
    <w:name w:val="heading 9"/>
    <w:next w:val="1"/>
    <w:unhideWhenUsed/>
    <w:qFormat/>
    <w:uiPriority w:val="0"/>
    <w:pPr>
      <w:numPr>
        <w:ilvl w:val="8"/>
        <w:numId w:val="1"/>
      </w:numPr>
      <w:spacing w:before="30" w:beforeLines="30" w:after="30" w:afterLines="30" w:line="312" w:lineRule="auto"/>
      <w:ind w:left="1558" w:hanging="1558"/>
      <w:outlineLvl w:val="8"/>
    </w:pPr>
    <w:rPr>
      <w:rFonts w:eastAsia="微软雅黑" w:asciiTheme="majorAscii" w:hAnsiTheme="majorAscii" w:cstheme="majorBidi"/>
      <w:b/>
      <w:sz w:val="24"/>
      <w:szCs w:val="21"/>
    </w:rPr>
  </w:style>
  <w:style w:type="character" w:default="1" w:styleId="21">
    <w:name w:val="Default Paragraph Font"/>
    <w:semiHidden/>
    <w:qFormat/>
    <w:uiPriority w:val="0"/>
  </w:style>
  <w:style w:type="table" w:default="1" w:styleId="20">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1">
    <w:name w:val="Body Text"/>
    <w:qFormat/>
    <w:uiPriority w:val="0"/>
    <w:pPr>
      <w:spacing w:before="100" w:after="100" w:afterLines="0" w:afterAutospacing="0" w:line="312" w:lineRule="auto"/>
      <w:ind w:firstLine="803" w:firstLineChars="200"/>
    </w:pPr>
    <w:rPr>
      <w:rFonts w:ascii="Times New Roman" w:hAnsi="Times New Roman" w:eastAsia="仿宋_GB2312" w:cs="Times New Roman"/>
    </w:rPr>
  </w:style>
  <w:style w:type="paragraph" w:styleId="12">
    <w:name w:val="toc 3"/>
    <w:basedOn w:val="1"/>
    <w:next w:val="1"/>
    <w:qFormat/>
    <w:uiPriority w:val="0"/>
    <w:pPr>
      <w:ind w:left="840" w:leftChars="400"/>
    </w:pPr>
  </w:style>
  <w:style w:type="paragraph" w:styleId="13">
    <w:name w:val="footer"/>
    <w:basedOn w:val="1"/>
    <w:qFormat/>
    <w:uiPriority w:val="0"/>
    <w:pPr>
      <w:tabs>
        <w:tab w:val="center" w:pos="4153"/>
        <w:tab w:val="right" w:pos="8306"/>
      </w:tabs>
      <w:snapToGrid w:val="0"/>
      <w:jc w:val="left"/>
    </w:pPr>
    <w:rPr>
      <w:sz w:val="18"/>
    </w:rPr>
  </w:style>
  <w:style w:type="paragraph" w:styleId="1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5">
    <w:name w:val="toc 1"/>
    <w:basedOn w:val="1"/>
    <w:next w:val="1"/>
    <w:qFormat/>
    <w:uiPriority w:val="0"/>
  </w:style>
  <w:style w:type="paragraph" w:styleId="16">
    <w:name w:val="Subtitle"/>
    <w:basedOn w:val="1"/>
    <w:qFormat/>
    <w:uiPriority w:val="0"/>
    <w:pPr>
      <w:spacing w:beforeLines="0" w:beforeAutospacing="0" w:afterLines="0" w:afterAutospacing="0" w:line="240" w:lineRule="auto"/>
      <w:jc w:val="center"/>
      <w:outlineLvl w:val="9"/>
    </w:pPr>
    <w:rPr>
      <w:rFonts w:ascii="Arial" w:hAnsi="Arial"/>
      <w:b/>
      <w:kern w:val="28"/>
      <w:sz w:val="4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10"/>
    <w:pPr>
      <w:spacing w:line="240" w:lineRule="auto"/>
      <w:jc w:val="center"/>
      <w:outlineLvl w:val="9"/>
    </w:pPr>
    <w:rPr>
      <w:rFonts w:ascii="Arial" w:hAnsi="Arial"/>
      <w:b/>
      <w:sz w:val="48"/>
      <w:szCs w:val="40"/>
    </w:rPr>
  </w:style>
  <w:style w:type="character" w:styleId="22">
    <w:name w:val="Strong"/>
    <w:basedOn w:val="21"/>
    <w:qFormat/>
    <w:uiPriority w:val="22"/>
    <w:rPr>
      <w:rFonts w:ascii="Arial" w:hAnsi="Arial" w:eastAsia="微软雅黑"/>
      <w:b/>
      <w:color w:val="auto"/>
      <w:u w:val="single"/>
    </w:rPr>
  </w:style>
  <w:style w:type="character" w:styleId="23">
    <w:name w:val="Emphasis"/>
    <w:basedOn w:val="21"/>
    <w:qFormat/>
    <w:uiPriority w:val="20"/>
    <w:rPr>
      <w:rFonts w:ascii="Arial" w:hAnsi="Arial" w:eastAsia="微软雅黑"/>
      <w:b/>
      <w:bCs/>
      <w:i/>
      <w:color w:val="auto"/>
      <w:sz w:val="24"/>
      <w:szCs w:val="22"/>
    </w:rPr>
  </w:style>
  <w:style w:type="character" w:customStyle="1" w:styleId="24">
    <w:name w:val="标题 3 Char"/>
    <w:link w:val="4"/>
    <w:qFormat/>
    <w:uiPriority w:val="0"/>
    <w:rPr>
      <w:rFonts w:ascii="Arial" w:hAnsi="Arial" w:eastAsia="仿宋_GB2312" w:cstheme="minorBidi"/>
      <w:b/>
      <w:kern w:val="2"/>
      <w:sz w:val="28"/>
      <w:szCs w:val="30"/>
    </w:rPr>
  </w:style>
  <w:style w:type="character" w:customStyle="1" w:styleId="25">
    <w:name w:val="标题 4 Char"/>
    <w:link w:val="5"/>
    <w:qFormat/>
    <w:uiPriority w:val="0"/>
    <w:rPr>
      <w:rFonts w:ascii="Arial" w:hAnsi="Arial" w:eastAsia="宋体"/>
      <w:b/>
      <w:sz w:val="24"/>
      <w:szCs w:val="30"/>
      <w:lang w:val="en-US" w:eastAsia="zh-CN"/>
    </w:rPr>
  </w:style>
  <w:style w:type="character" w:customStyle="1" w:styleId="26">
    <w:name w:val="10"/>
    <w:basedOn w:val="21"/>
    <w:qFormat/>
    <w:uiPriority w:val="0"/>
    <w:rPr>
      <w:rFonts w:hint="default" w:ascii="Times New Roman" w:hAnsi="Times New Roman" w:cs="Times New Roman"/>
    </w:rPr>
  </w:style>
  <w:style w:type="character" w:customStyle="1" w:styleId="27">
    <w:name w:val="16"/>
    <w:basedOn w:val="21"/>
    <w:qFormat/>
    <w:uiPriority w:val="0"/>
    <w:rPr>
      <w:rFonts w:hint="default" w:ascii="Segoe UI" w:hAnsi="Segoe UI" w:eastAsia="Segoe UI" w:cs="Segoe UI"/>
      <w:color w:val="404040"/>
      <w:sz w:val="18"/>
      <w:szCs w:val="18"/>
    </w:rPr>
  </w:style>
  <w:style w:type="character" w:customStyle="1" w:styleId="28">
    <w:name w:val="15"/>
    <w:basedOn w:val="21"/>
    <w:qFormat/>
    <w:uiPriority w:val="0"/>
    <w:rPr>
      <w:rFonts w:hint="default" w:ascii="Times New Roman" w:hAnsi="Times New Roman" w:cs="Times New Roman"/>
      <w:b/>
      <w:sz w:val="32"/>
      <w:szCs w:val="32"/>
    </w:rPr>
  </w:style>
  <w:style w:type="character" w:customStyle="1" w:styleId="29">
    <w:name w:val="标题 5 Char"/>
    <w:link w:val="6"/>
    <w:qFormat/>
    <w:uiPriority w:val="0"/>
    <w:rPr>
      <w:rFonts w:ascii="Arial" w:hAnsi="Arial" w:eastAsia="微软雅黑" w:cstheme="minorBidi"/>
      <w:b/>
      <w:sz w:val="24"/>
      <w:szCs w:val="22"/>
    </w:rPr>
  </w:style>
  <w:style w:type="character" w:customStyle="1" w:styleId="30">
    <w:name w:val="标题 6 Char"/>
    <w:link w:val="7"/>
    <w:qFormat/>
    <w:uiPriority w:val="0"/>
    <w:rPr>
      <w:rFonts w:ascii="Arial" w:hAnsi="Arial" w:eastAsia="微软雅黑" w:cstheme="minorBidi"/>
      <w:b/>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41</Pages>
  <Words>33480</Words>
  <Characters>35459</Characters>
  <Lines>0</Lines>
  <Paragraphs>0</Paragraphs>
  <TotalTime>83</TotalTime>
  <ScaleCrop>false</ScaleCrop>
  <LinksUpToDate>false</LinksUpToDate>
  <CharactersWithSpaces>35887</CharactersWithSpaces>
  <Application>WPS Office_11.1.0.12375_F1E327BC-269C-435d-A152-05C5408002CA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2025-03-20T11:02:00Z</dcterms:created>
  <dc:creator>1</dc:creator>
  <cp:lastModifiedBy>一粒豆子</cp:lastModifiedBy>
  <dcterms:modified xsi:type="dcterms:W3CDTF">2025-03-21T02:25:27Z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2052-11.1.0.12375</vt:lpwstr>
  </property>
  <property fmtid="{D5CDD505-2E9C-101B-9397-08002B2CF9AE}" pid="3" name="ICV">
    <vt:lpwstr>58A5E6B7E06246AA869907C337D24CF6</vt:lpwstr>
  </property>
  <property fmtid="{D5CDD505-2E9C-101B-9397-08002B2CF9AE}" pid="4" name="KSOTemplateDocerSaveRecord">
    <vt:lpwstr>eyJoZGlkIjoiOWZhZTJhNWM2ZWE3MzQ1NmFhOTA4Njg0Y2E2YzdhZDMiLCJ1c2VySWQiOiI5NzMxNjYxMzYifQ==</vt:lpwstr>
  </property>
</Properties>
</file>