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3963" w14:textId="77777777" w:rsidR="00200342" w:rsidRPr="00200342" w:rsidRDefault="00200342" w:rsidP="00200342">
      <w:r w:rsidRPr="00200342">
        <w:t>Aquí tienes las fuentes oficiales, estudios y organismos de referencia en los que se basa el análisis y la infografía. Para facilitar tu búsqueda, las he dividido por la temática que avalan:</w:t>
      </w:r>
    </w:p>
    <w:p w14:paraId="515648EE" w14:textId="77777777" w:rsidR="00200342" w:rsidRPr="00200342" w:rsidRDefault="00200342" w:rsidP="00200342">
      <w:pPr>
        <w:rPr>
          <w:b/>
          <w:bCs/>
        </w:rPr>
      </w:pPr>
      <w:r w:rsidRPr="00200342">
        <w:rPr>
          <w:b/>
          <w:bCs/>
        </w:rPr>
        <w:t>1. Demografía (La "Urna" o Pirámide Invertida)</w:t>
      </w:r>
    </w:p>
    <w:p w14:paraId="7638B49D" w14:textId="77777777" w:rsidR="00200342" w:rsidRPr="00200342" w:rsidRDefault="00200342" w:rsidP="00200342">
      <w:pPr>
        <w:numPr>
          <w:ilvl w:val="0"/>
          <w:numId w:val="1"/>
        </w:numPr>
      </w:pPr>
      <w:r w:rsidRPr="00200342">
        <w:rPr>
          <w:b/>
          <w:bCs/>
        </w:rPr>
        <w:t>Fuente:</w:t>
      </w:r>
      <w:r w:rsidRPr="00200342">
        <w:t xml:space="preserve"> </w:t>
      </w:r>
      <w:r w:rsidRPr="00200342">
        <w:rPr>
          <w:b/>
          <w:bCs/>
        </w:rPr>
        <w:t>INE (Instituto Nacional de Estadística)</w:t>
      </w:r>
      <w:r w:rsidRPr="00200342">
        <w:t>.</w:t>
      </w:r>
    </w:p>
    <w:p w14:paraId="7875E949" w14:textId="77777777" w:rsidR="00200342" w:rsidRPr="00200342" w:rsidRDefault="00200342" w:rsidP="00200342">
      <w:pPr>
        <w:numPr>
          <w:ilvl w:val="0"/>
          <w:numId w:val="1"/>
        </w:numPr>
      </w:pPr>
      <w:r w:rsidRPr="00200342">
        <w:rPr>
          <w:b/>
          <w:bCs/>
        </w:rPr>
        <w:t>Documento clave:</w:t>
      </w:r>
      <w:r w:rsidRPr="00200342">
        <w:t xml:space="preserve"> </w:t>
      </w:r>
      <w:r w:rsidRPr="00200342">
        <w:rPr>
          <w:i/>
          <w:iCs/>
        </w:rPr>
        <w:t>Proyecciones de Población 2024-2074</w:t>
      </w:r>
      <w:r w:rsidRPr="00200342">
        <w:t>.</w:t>
      </w:r>
    </w:p>
    <w:p w14:paraId="5E839845" w14:textId="77777777" w:rsidR="00200342" w:rsidRPr="00200342" w:rsidRDefault="00200342" w:rsidP="00200342">
      <w:pPr>
        <w:numPr>
          <w:ilvl w:val="0"/>
          <w:numId w:val="1"/>
        </w:numPr>
      </w:pPr>
      <w:r w:rsidRPr="00200342">
        <w:rPr>
          <w:b/>
          <w:bCs/>
        </w:rPr>
        <w:t>Qué confirma:</w:t>
      </w:r>
      <w:r w:rsidRPr="00200342">
        <w:t xml:space="preserve"> Confirma la estructura de pirámide invertida y cómo la cohorte del </w:t>
      </w:r>
      <w:r w:rsidRPr="00200342">
        <w:rPr>
          <w:i/>
          <w:iCs/>
        </w:rPr>
        <w:t>Baby Boom</w:t>
      </w:r>
      <w:r w:rsidRPr="00200342">
        <w:t xml:space="preserve"> (nacidos aprox. 1958-1977) es significativamente más voluminosa que la Generación Z o los </w:t>
      </w:r>
      <w:proofErr w:type="spellStart"/>
      <w:r w:rsidRPr="00200342">
        <w:t>Millennials</w:t>
      </w:r>
      <w:proofErr w:type="spellEnd"/>
      <w:r w:rsidRPr="00200342">
        <w:t xml:space="preserve"> tardíos.</w:t>
      </w:r>
    </w:p>
    <w:p w14:paraId="7975678E" w14:textId="77777777" w:rsidR="00200342" w:rsidRPr="00200342" w:rsidRDefault="00200342" w:rsidP="00200342">
      <w:pPr>
        <w:numPr>
          <w:ilvl w:val="0"/>
          <w:numId w:val="1"/>
        </w:numPr>
      </w:pPr>
      <w:r w:rsidRPr="00200342">
        <w:rPr>
          <w:b/>
          <w:bCs/>
        </w:rPr>
        <w:t>Dato relevante:</w:t>
      </w:r>
      <w:r w:rsidRPr="00200342">
        <w:t xml:space="preserve"> España envejece a ritmo acelerado y la tasa de dependencia (personas mayores vs. personas en edad de trabajar) se disparará en las próximas dos décadas.</w:t>
      </w:r>
    </w:p>
    <w:p w14:paraId="2812A048" w14:textId="77777777" w:rsidR="00200342" w:rsidRPr="00200342" w:rsidRDefault="00200342" w:rsidP="00200342">
      <w:pPr>
        <w:rPr>
          <w:b/>
          <w:bCs/>
        </w:rPr>
      </w:pPr>
      <w:r w:rsidRPr="00200342">
        <w:rPr>
          <w:b/>
          <w:bCs/>
        </w:rPr>
        <w:t>2. Riqueza y Patrimonio de las Familias</w:t>
      </w:r>
    </w:p>
    <w:p w14:paraId="6D9BC0FF" w14:textId="77777777" w:rsidR="00200342" w:rsidRPr="00200342" w:rsidRDefault="00200342" w:rsidP="00200342">
      <w:pPr>
        <w:numPr>
          <w:ilvl w:val="0"/>
          <w:numId w:val="2"/>
        </w:numPr>
      </w:pPr>
      <w:r w:rsidRPr="00200342">
        <w:rPr>
          <w:b/>
          <w:bCs/>
        </w:rPr>
        <w:t>Fuente:</w:t>
      </w:r>
      <w:r w:rsidRPr="00200342">
        <w:t xml:space="preserve"> </w:t>
      </w:r>
      <w:r w:rsidRPr="00200342">
        <w:rPr>
          <w:b/>
          <w:bCs/>
        </w:rPr>
        <w:t>Banco de España (</w:t>
      </w:r>
      <w:proofErr w:type="spellStart"/>
      <w:r w:rsidRPr="00200342">
        <w:rPr>
          <w:b/>
          <w:bCs/>
        </w:rPr>
        <w:t>BdE</w:t>
      </w:r>
      <w:proofErr w:type="spellEnd"/>
      <w:r w:rsidRPr="00200342">
        <w:rPr>
          <w:b/>
          <w:bCs/>
        </w:rPr>
        <w:t>)</w:t>
      </w:r>
      <w:r w:rsidRPr="00200342">
        <w:t>.</w:t>
      </w:r>
    </w:p>
    <w:p w14:paraId="0B47E47C" w14:textId="77777777" w:rsidR="00200342" w:rsidRPr="00200342" w:rsidRDefault="00200342" w:rsidP="00200342">
      <w:pPr>
        <w:numPr>
          <w:ilvl w:val="0"/>
          <w:numId w:val="2"/>
        </w:numPr>
      </w:pPr>
      <w:r w:rsidRPr="00200342">
        <w:rPr>
          <w:b/>
          <w:bCs/>
        </w:rPr>
        <w:t>Documento clave:</w:t>
      </w:r>
      <w:r w:rsidRPr="00200342">
        <w:t xml:space="preserve"> </w:t>
      </w:r>
      <w:r w:rsidRPr="00200342">
        <w:rPr>
          <w:i/>
          <w:iCs/>
        </w:rPr>
        <w:t>Encuesta Financiera de las Familias (EFF)</w:t>
      </w:r>
      <w:r w:rsidRPr="00200342">
        <w:t>. (Suele publicarse cada 3 años, la última consolidada ofrece datos reveladores).</w:t>
      </w:r>
    </w:p>
    <w:p w14:paraId="6015279C" w14:textId="77777777" w:rsidR="00200342" w:rsidRPr="00200342" w:rsidRDefault="00200342" w:rsidP="00200342">
      <w:pPr>
        <w:numPr>
          <w:ilvl w:val="0"/>
          <w:numId w:val="2"/>
        </w:numPr>
      </w:pPr>
      <w:r w:rsidRPr="00200342">
        <w:rPr>
          <w:b/>
          <w:bCs/>
        </w:rPr>
        <w:t>Qué confirma:</w:t>
      </w:r>
      <w:r w:rsidRPr="00200342">
        <w:t xml:space="preserve"> Muestra cómo la riqueza neta de los hogares jóvenes (menores de 35 años) se ha desplomado en comparación con los jóvenes de hace 20 años, mientras que la riqueza de los mayores de 65 años se ha duplicado o triplicado.</w:t>
      </w:r>
    </w:p>
    <w:p w14:paraId="269D7F37" w14:textId="77777777" w:rsidR="00200342" w:rsidRPr="00200342" w:rsidRDefault="00200342" w:rsidP="00200342">
      <w:pPr>
        <w:numPr>
          <w:ilvl w:val="0"/>
          <w:numId w:val="2"/>
        </w:numPr>
      </w:pPr>
      <w:r w:rsidRPr="00200342">
        <w:rPr>
          <w:b/>
          <w:bCs/>
        </w:rPr>
        <w:t>Dato relevante:</w:t>
      </w:r>
      <w:r w:rsidRPr="00200342">
        <w:t xml:space="preserve"> Confirma que el grueso del patrimonio inmobiliario está en manos de mayores de 60 años.</w:t>
      </w:r>
    </w:p>
    <w:p w14:paraId="032617E8" w14:textId="77777777" w:rsidR="00200342" w:rsidRPr="00200342" w:rsidRDefault="00200342" w:rsidP="00200342">
      <w:pPr>
        <w:rPr>
          <w:b/>
          <w:bCs/>
        </w:rPr>
      </w:pPr>
      <w:r w:rsidRPr="00200342">
        <w:rPr>
          <w:b/>
          <w:bCs/>
        </w:rPr>
        <w:t>3. El peso de la Herencia vs. Trabajo</w:t>
      </w:r>
    </w:p>
    <w:p w14:paraId="676FD83A" w14:textId="77777777" w:rsidR="00200342" w:rsidRPr="00200342" w:rsidRDefault="00200342" w:rsidP="00200342">
      <w:pPr>
        <w:numPr>
          <w:ilvl w:val="0"/>
          <w:numId w:val="3"/>
        </w:numPr>
      </w:pPr>
      <w:r w:rsidRPr="00200342">
        <w:rPr>
          <w:b/>
          <w:bCs/>
        </w:rPr>
        <w:t>Fuente:</w:t>
      </w:r>
      <w:r w:rsidRPr="00200342">
        <w:t xml:space="preserve"> </w:t>
      </w:r>
      <w:proofErr w:type="spellStart"/>
      <w:r w:rsidRPr="00200342">
        <w:rPr>
          <w:b/>
          <w:bCs/>
        </w:rPr>
        <w:t>EsadeEcPol</w:t>
      </w:r>
      <w:proofErr w:type="spellEnd"/>
      <w:r w:rsidRPr="00200342">
        <w:rPr>
          <w:b/>
          <w:bCs/>
        </w:rPr>
        <w:t xml:space="preserve"> (Centro de Políticas Económicas de </w:t>
      </w:r>
      <w:proofErr w:type="spellStart"/>
      <w:r w:rsidRPr="00200342">
        <w:rPr>
          <w:b/>
          <w:bCs/>
        </w:rPr>
        <w:t>Esade</w:t>
      </w:r>
      <w:proofErr w:type="spellEnd"/>
      <w:r w:rsidRPr="00200342">
        <w:rPr>
          <w:b/>
          <w:bCs/>
        </w:rPr>
        <w:t>)</w:t>
      </w:r>
      <w:r w:rsidRPr="00200342">
        <w:t>.</w:t>
      </w:r>
    </w:p>
    <w:p w14:paraId="48C704B6" w14:textId="77777777" w:rsidR="00200342" w:rsidRPr="00200342" w:rsidRDefault="00200342" w:rsidP="00200342">
      <w:pPr>
        <w:numPr>
          <w:ilvl w:val="0"/>
          <w:numId w:val="3"/>
        </w:numPr>
      </w:pPr>
      <w:r w:rsidRPr="00200342">
        <w:rPr>
          <w:b/>
          <w:bCs/>
        </w:rPr>
        <w:t>Estudio clave:</w:t>
      </w:r>
      <w:r w:rsidRPr="00200342">
        <w:t xml:space="preserve"> </w:t>
      </w:r>
      <w:r w:rsidRPr="00200342">
        <w:rPr>
          <w:i/>
          <w:iCs/>
        </w:rPr>
        <w:t>"La herencia como mecanismo de desigualdad de riqueza en España" (o informes sobre Desigualdad Intergeneracional)</w:t>
      </w:r>
      <w:r w:rsidRPr="00200342">
        <w:t>.</w:t>
      </w:r>
    </w:p>
    <w:p w14:paraId="160C8A38" w14:textId="77777777" w:rsidR="00200342" w:rsidRPr="00200342" w:rsidRDefault="00200342" w:rsidP="00200342">
      <w:pPr>
        <w:numPr>
          <w:ilvl w:val="0"/>
          <w:numId w:val="3"/>
        </w:numPr>
      </w:pPr>
      <w:r w:rsidRPr="00200342">
        <w:rPr>
          <w:b/>
          <w:bCs/>
        </w:rPr>
        <w:t>Qué confirma:</w:t>
      </w:r>
      <w:r w:rsidRPr="00200342">
        <w:t xml:space="preserve"> Analizan cómo la herencia está ganando peso relativo frente a los ingresos del trabajo para determinar la posición social futura.</w:t>
      </w:r>
    </w:p>
    <w:p w14:paraId="7A1F407C" w14:textId="77777777" w:rsidR="00200342" w:rsidRPr="00200342" w:rsidRDefault="00200342" w:rsidP="00200342">
      <w:pPr>
        <w:numPr>
          <w:ilvl w:val="0"/>
          <w:numId w:val="3"/>
        </w:numPr>
      </w:pPr>
      <w:r w:rsidRPr="00200342">
        <w:rPr>
          <w:b/>
          <w:bCs/>
        </w:rPr>
        <w:t>Fuente Internacional:</w:t>
      </w:r>
      <w:r w:rsidRPr="00200342">
        <w:t xml:space="preserve"> </w:t>
      </w:r>
      <w:r w:rsidRPr="00200342">
        <w:rPr>
          <w:b/>
          <w:bCs/>
        </w:rPr>
        <w:t>OCDE (OECD)</w:t>
      </w:r>
      <w:r w:rsidRPr="00200342">
        <w:t>.</w:t>
      </w:r>
    </w:p>
    <w:p w14:paraId="1BF9D374" w14:textId="77777777" w:rsidR="00200342" w:rsidRPr="00200342" w:rsidRDefault="00200342" w:rsidP="00200342">
      <w:pPr>
        <w:numPr>
          <w:ilvl w:val="0"/>
          <w:numId w:val="3"/>
        </w:numPr>
        <w:rPr>
          <w:lang w:val="de-DE"/>
        </w:rPr>
      </w:pPr>
      <w:r w:rsidRPr="00200342">
        <w:rPr>
          <w:b/>
          <w:bCs/>
          <w:lang w:val="de-DE"/>
        </w:rPr>
        <w:t>Informe:</w:t>
      </w:r>
      <w:r w:rsidRPr="00200342">
        <w:rPr>
          <w:lang w:val="de-DE"/>
        </w:rPr>
        <w:t xml:space="preserve"> </w:t>
      </w:r>
      <w:r w:rsidRPr="00200342">
        <w:rPr>
          <w:i/>
          <w:iCs/>
          <w:lang w:val="de-DE"/>
        </w:rPr>
        <w:t>Inheritance Taxation in OECD Countries (2021)</w:t>
      </w:r>
      <w:r w:rsidRPr="00200342">
        <w:rPr>
          <w:lang w:val="de-DE"/>
        </w:rPr>
        <w:t>.</w:t>
      </w:r>
    </w:p>
    <w:p w14:paraId="5A31CD19" w14:textId="77777777" w:rsidR="00200342" w:rsidRPr="00200342" w:rsidRDefault="00200342" w:rsidP="00200342">
      <w:pPr>
        <w:numPr>
          <w:ilvl w:val="0"/>
          <w:numId w:val="3"/>
        </w:numPr>
      </w:pPr>
      <w:r w:rsidRPr="00200342">
        <w:rPr>
          <w:b/>
          <w:bCs/>
        </w:rPr>
        <w:t>Qué confirma:</w:t>
      </w:r>
      <w:r w:rsidRPr="00200342">
        <w:t xml:space="preserve"> Señala que el valor de las herencias y donaciones como porcentaje del patrimonio total está aumentando en los países desarrollados debido a la revalorización de activos (vivienda) y el estancamiento salarial.</w:t>
      </w:r>
    </w:p>
    <w:p w14:paraId="43962E9E" w14:textId="77777777" w:rsidR="00200342" w:rsidRPr="00200342" w:rsidRDefault="00200342" w:rsidP="00200342">
      <w:pPr>
        <w:rPr>
          <w:b/>
          <w:bCs/>
        </w:rPr>
      </w:pPr>
      <w:r w:rsidRPr="00200342">
        <w:rPr>
          <w:b/>
          <w:bCs/>
        </w:rPr>
        <w:t>4. Capacidad de Ahorro y Vivienda (Jóvenes)</w:t>
      </w:r>
    </w:p>
    <w:p w14:paraId="73874ADF" w14:textId="77777777" w:rsidR="00200342" w:rsidRPr="00200342" w:rsidRDefault="00200342" w:rsidP="00200342">
      <w:pPr>
        <w:numPr>
          <w:ilvl w:val="0"/>
          <w:numId w:val="4"/>
        </w:numPr>
      </w:pPr>
      <w:r w:rsidRPr="00200342">
        <w:rPr>
          <w:b/>
          <w:bCs/>
        </w:rPr>
        <w:t>Fuente:</w:t>
      </w:r>
      <w:r w:rsidRPr="00200342">
        <w:t xml:space="preserve"> </w:t>
      </w:r>
      <w:r w:rsidRPr="00200342">
        <w:rPr>
          <w:b/>
          <w:bCs/>
        </w:rPr>
        <w:t>Consejo de la Juventud de España (CJE)</w:t>
      </w:r>
      <w:r w:rsidRPr="00200342">
        <w:t>.</w:t>
      </w:r>
    </w:p>
    <w:p w14:paraId="2850474C" w14:textId="77777777" w:rsidR="00200342" w:rsidRPr="00200342" w:rsidRDefault="00200342" w:rsidP="00200342">
      <w:pPr>
        <w:numPr>
          <w:ilvl w:val="0"/>
          <w:numId w:val="4"/>
        </w:numPr>
      </w:pPr>
      <w:r w:rsidRPr="00200342">
        <w:rPr>
          <w:b/>
          <w:bCs/>
        </w:rPr>
        <w:t>Documento clave:</w:t>
      </w:r>
      <w:r w:rsidRPr="00200342">
        <w:t xml:space="preserve"> </w:t>
      </w:r>
      <w:r w:rsidRPr="00200342">
        <w:rPr>
          <w:i/>
          <w:iCs/>
        </w:rPr>
        <w:t>Observatorio de Emancipación</w:t>
      </w:r>
      <w:r w:rsidRPr="00200342">
        <w:t>.</w:t>
      </w:r>
    </w:p>
    <w:p w14:paraId="2ACBF2DF" w14:textId="77777777" w:rsidR="00200342" w:rsidRPr="00200342" w:rsidRDefault="00200342" w:rsidP="00200342">
      <w:pPr>
        <w:numPr>
          <w:ilvl w:val="0"/>
          <w:numId w:val="4"/>
        </w:numPr>
      </w:pPr>
      <w:r w:rsidRPr="00200342">
        <w:rPr>
          <w:b/>
          <w:bCs/>
        </w:rPr>
        <w:lastRenderedPageBreak/>
        <w:t>Qué confirma:</w:t>
      </w:r>
      <w:r w:rsidRPr="00200342">
        <w:t xml:space="preserve"> Es la fuente del dato sobre que los jóvenes deben destinar porcentajes inasumibles de su sueldo (a veces más del 80% en grandes ciudades) si quisieran emanciparse en solitario, lo que elimina la capacidad de ahorro estructural.</w:t>
      </w:r>
    </w:p>
    <w:p w14:paraId="6D311AB1" w14:textId="77777777" w:rsidR="00200342" w:rsidRPr="00200342" w:rsidRDefault="00200342" w:rsidP="00200342">
      <w:pPr>
        <w:numPr>
          <w:ilvl w:val="0"/>
          <w:numId w:val="4"/>
        </w:numPr>
      </w:pPr>
      <w:r w:rsidRPr="00200342">
        <w:rPr>
          <w:b/>
          <w:bCs/>
        </w:rPr>
        <w:t>Fuente:</w:t>
      </w:r>
      <w:r w:rsidRPr="00200342">
        <w:t xml:space="preserve"> </w:t>
      </w:r>
      <w:proofErr w:type="spellStart"/>
      <w:r w:rsidRPr="00200342">
        <w:rPr>
          <w:b/>
          <w:bCs/>
        </w:rPr>
        <w:t>Fedea</w:t>
      </w:r>
      <w:proofErr w:type="spellEnd"/>
      <w:r w:rsidRPr="00200342">
        <w:rPr>
          <w:b/>
          <w:bCs/>
        </w:rPr>
        <w:t xml:space="preserve"> (Fundación de Estudios de Economía Aplicada)</w:t>
      </w:r>
      <w:r w:rsidRPr="00200342">
        <w:t>.</w:t>
      </w:r>
    </w:p>
    <w:p w14:paraId="0FD9F5A9" w14:textId="77777777" w:rsidR="00200342" w:rsidRPr="00200342" w:rsidRDefault="00200342" w:rsidP="00200342">
      <w:pPr>
        <w:numPr>
          <w:ilvl w:val="0"/>
          <w:numId w:val="4"/>
        </w:numPr>
      </w:pPr>
      <w:r w:rsidRPr="00200342">
        <w:rPr>
          <w:b/>
          <w:bCs/>
        </w:rPr>
        <w:t>Qué confirma:</w:t>
      </w:r>
      <w:r w:rsidRPr="00200342">
        <w:t xml:space="preserve"> Tienen diversos </w:t>
      </w:r>
      <w:proofErr w:type="spellStart"/>
      <w:r w:rsidRPr="00200342">
        <w:rPr>
          <w:i/>
          <w:iCs/>
        </w:rPr>
        <w:t>papers</w:t>
      </w:r>
      <w:proofErr w:type="spellEnd"/>
      <w:r w:rsidRPr="00200342">
        <w:t xml:space="preserve"> sobre la dificultad de acceso a la vivienda y cómo esto bloquea la acumulación de capital en etapas tempranas de la vida adulta.</w:t>
      </w:r>
    </w:p>
    <w:p w14:paraId="37B20386" w14:textId="77777777" w:rsidR="00200342" w:rsidRPr="00200342" w:rsidRDefault="00200342" w:rsidP="00200342">
      <w:pPr>
        <w:rPr>
          <w:b/>
          <w:bCs/>
        </w:rPr>
      </w:pPr>
      <w:r w:rsidRPr="00200342">
        <w:rPr>
          <w:b/>
          <w:bCs/>
        </w:rPr>
        <w:t>5. Marco Teórico Económico (El concepto general)</w:t>
      </w:r>
    </w:p>
    <w:p w14:paraId="433E0F2F" w14:textId="77777777" w:rsidR="00200342" w:rsidRPr="00200342" w:rsidRDefault="00200342" w:rsidP="00200342">
      <w:pPr>
        <w:numPr>
          <w:ilvl w:val="0"/>
          <w:numId w:val="5"/>
        </w:numPr>
      </w:pPr>
      <w:r w:rsidRPr="00200342">
        <w:rPr>
          <w:b/>
          <w:bCs/>
        </w:rPr>
        <w:t>Autor/Obra:</w:t>
      </w:r>
      <w:r w:rsidRPr="00200342">
        <w:t xml:space="preserve"> </w:t>
      </w:r>
      <w:r w:rsidRPr="00200342">
        <w:rPr>
          <w:b/>
          <w:bCs/>
        </w:rPr>
        <w:t xml:space="preserve">Thomas </w:t>
      </w:r>
      <w:proofErr w:type="spellStart"/>
      <w:r w:rsidRPr="00200342">
        <w:rPr>
          <w:b/>
          <w:bCs/>
        </w:rPr>
        <w:t>Piketty</w:t>
      </w:r>
      <w:proofErr w:type="spellEnd"/>
      <w:r w:rsidRPr="00200342">
        <w:rPr>
          <w:b/>
          <w:bCs/>
        </w:rPr>
        <w:t xml:space="preserve"> - "El Capital en el Siglo XXI"</w:t>
      </w:r>
      <w:r w:rsidRPr="00200342">
        <w:t>.</w:t>
      </w:r>
    </w:p>
    <w:p w14:paraId="3ED9604E" w14:textId="77777777" w:rsidR="00200342" w:rsidRPr="00200342" w:rsidRDefault="00200342" w:rsidP="00200342">
      <w:pPr>
        <w:numPr>
          <w:ilvl w:val="0"/>
          <w:numId w:val="5"/>
        </w:numPr>
      </w:pPr>
      <w:r w:rsidRPr="00200342">
        <w:rPr>
          <w:b/>
          <w:bCs/>
        </w:rPr>
        <w:t>Concepto:</w:t>
      </w:r>
      <w:r w:rsidRPr="00200342">
        <w:t xml:space="preserve"> La famosa fórmula r &gt; g (el rendimiento del capital/patrimonio crece más rápido que la economía/salarios).</w:t>
      </w:r>
    </w:p>
    <w:p w14:paraId="34506F32" w14:textId="77777777" w:rsidR="00200342" w:rsidRPr="00200342" w:rsidRDefault="00200342" w:rsidP="00200342">
      <w:pPr>
        <w:numPr>
          <w:ilvl w:val="0"/>
          <w:numId w:val="5"/>
        </w:numPr>
      </w:pPr>
      <w:r w:rsidRPr="00200342">
        <w:rPr>
          <w:b/>
          <w:bCs/>
        </w:rPr>
        <w:t>Aplicación:</w:t>
      </w:r>
      <w:r w:rsidRPr="00200342">
        <w:t xml:space="preserve"> Es la base teórica que explica por qué, en economías maduras y envejecidas como la española, heredar (capital) se vuelve matemáticamente más determinante que trabajar (crecimiento).</w:t>
      </w:r>
    </w:p>
    <w:p w14:paraId="0CC6A95C" w14:textId="77777777" w:rsidR="00200342" w:rsidRPr="00200342" w:rsidRDefault="00200342" w:rsidP="00200342">
      <w:pPr>
        <w:rPr>
          <w:b/>
          <w:bCs/>
        </w:rPr>
      </w:pPr>
      <w:r w:rsidRPr="00200342">
        <w:rPr>
          <w:b/>
          <w:bCs/>
        </w:rPr>
        <w:t>¿Cómo buscar esto rápidamente en Google?</w:t>
      </w:r>
    </w:p>
    <w:p w14:paraId="3C5BD9E1" w14:textId="77777777" w:rsidR="00200342" w:rsidRPr="00200342" w:rsidRDefault="00200342" w:rsidP="00200342">
      <w:r w:rsidRPr="00200342">
        <w:t>Si quieres ver los gráficos originales, te recomiendo estas búsquedas:</w:t>
      </w:r>
    </w:p>
    <w:p w14:paraId="2AC27411" w14:textId="77777777" w:rsidR="00200342" w:rsidRPr="00200342" w:rsidRDefault="00200342" w:rsidP="00200342">
      <w:pPr>
        <w:numPr>
          <w:ilvl w:val="0"/>
          <w:numId w:val="6"/>
        </w:numPr>
      </w:pPr>
      <w:r w:rsidRPr="00200342">
        <w:t>INE pirámide población proyecciones 2050</w:t>
      </w:r>
    </w:p>
    <w:p w14:paraId="00EB762A" w14:textId="77777777" w:rsidR="00200342" w:rsidRPr="00200342" w:rsidRDefault="00200342" w:rsidP="00200342">
      <w:pPr>
        <w:numPr>
          <w:ilvl w:val="0"/>
          <w:numId w:val="6"/>
        </w:numPr>
      </w:pPr>
      <w:r w:rsidRPr="00200342">
        <w:t>Banco de España Encuesta Financiera Familias riqueza por edad</w:t>
      </w:r>
    </w:p>
    <w:p w14:paraId="6420CF65" w14:textId="77777777" w:rsidR="00200342" w:rsidRPr="00200342" w:rsidRDefault="00200342" w:rsidP="00200342">
      <w:pPr>
        <w:numPr>
          <w:ilvl w:val="0"/>
          <w:numId w:val="6"/>
        </w:numPr>
      </w:pPr>
      <w:proofErr w:type="spellStart"/>
      <w:r w:rsidRPr="00200342">
        <w:t>EsadeEcPol</w:t>
      </w:r>
      <w:proofErr w:type="spellEnd"/>
      <w:r w:rsidRPr="00200342">
        <w:t xml:space="preserve"> herencias desigualdad España</w:t>
      </w:r>
    </w:p>
    <w:p w14:paraId="59C140FD" w14:textId="77777777" w:rsidR="00200342" w:rsidRPr="00200342" w:rsidRDefault="00200342" w:rsidP="00200342">
      <w:pPr>
        <w:numPr>
          <w:ilvl w:val="0"/>
          <w:numId w:val="6"/>
        </w:numPr>
      </w:pPr>
      <w:r w:rsidRPr="00200342">
        <w:t>CJE Observatorio Emancipación tasa esfuerzo vivienda</w:t>
      </w:r>
    </w:p>
    <w:p w14:paraId="661D2B07" w14:textId="77777777" w:rsidR="00A24F06" w:rsidRDefault="00A24F06"/>
    <w:sectPr w:rsidR="00A24F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6184"/>
    <w:multiLevelType w:val="multilevel"/>
    <w:tmpl w:val="BDCC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37326"/>
    <w:multiLevelType w:val="multilevel"/>
    <w:tmpl w:val="A7E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B6D1A"/>
    <w:multiLevelType w:val="multilevel"/>
    <w:tmpl w:val="B35E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222CA"/>
    <w:multiLevelType w:val="multilevel"/>
    <w:tmpl w:val="A15C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F361E"/>
    <w:multiLevelType w:val="multilevel"/>
    <w:tmpl w:val="A4C4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92C82"/>
    <w:multiLevelType w:val="multilevel"/>
    <w:tmpl w:val="727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47375">
    <w:abstractNumId w:val="2"/>
  </w:num>
  <w:num w:numId="2" w16cid:durableId="1318609075">
    <w:abstractNumId w:val="4"/>
  </w:num>
  <w:num w:numId="3" w16cid:durableId="1410926164">
    <w:abstractNumId w:val="5"/>
  </w:num>
  <w:num w:numId="4" w16cid:durableId="984504070">
    <w:abstractNumId w:val="1"/>
  </w:num>
  <w:num w:numId="5" w16cid:durableId="479350815">
    <w:abstractNumId w:val="3"/>
  </w:num>
  <w:num w:numId="6" w16cid:durableId="2024505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342"/>
    <w:rsid w:val="00200342"/>
    <w:rsid w:val="00923D19"/>
    <w:rsid w:val="00A24F06"/>
    <w:rsid w:val="00BB1EA5"/>
    <w:rsid w:val="00D50B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3C7D"/>
  <w15:chartTrackingRefBased/>
  <w15:docId w15:val="{54035F26-B1DC-4D13-A3D5-39637473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0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0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03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03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03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03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03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03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03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03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03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03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03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03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03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03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03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0342"/>
    <w:rPr>
      <w:rFonts w:eastAsiaTheme="majorEastAsia" w:cstheme="majorBidi"/>
      <w:color w:val="272727" w:themeColor="text1" w:themeTint="D8"/>
    </w:rPr>
  </w:style>
  <w:style w:type="paragraph" w:styleId="Ttulo">
    <w:name w:val="Title"/>
    <w:basedOn w:val="Normal"/>
    <w:next w:val="Normal"/>
    <w:link w:val="TtuloCar"/>
    <w:uiPriority w:val="10"/>
    <w:qFormat/>
    <w:rsid w:val="00200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03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03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03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0342"/>
    <w:pPr>
      <w:spacing w:before="160"/>
      <w:jc w:val="center"/>
    </w:pPr>
    <w:rPr>
      <w:i/>
      <w:iCs/>
      <w:color w:val="404040" w:themeColor="text1" w:themeTint="BF"/>
    </w:rPr>
  </w:style>
  <w:style w:type="character" w:customStyle="1" w:styleId="CitaCar">
    <w:name w:val="Cita Car"/>
    <w:basedOn w:val="Fuentedeprrafopredeter"/>
    <w:link w:val="Cita"/>
    <w:uiPriority w:val="29"/>
    <w:rsid w:val="00200342"/>
    <w:rPr>
      <w:i/>
      <w:iCs/>
      <w:color w:val="404040" w:themeColor="text1" w:themeTint="BF"/>
    </w:rPr>
  </w:style>
  <w:style w:type="paragraph" w:styleId="Prrafodelista">
    <w:name w:val="List Paragraph"/>
    <w:basedOn w:val="Normal"/>
    <w:uiPriority w:val="34"/>
    <w:qFormat/>
    <w:rsid w:val="00200342"/>
    <w:pPr>
      <w:ind w:left="720"/>
      <w:contextualSpacing/>
    </w:pPr>
  </w:style>
  <w:style w:type="character" w:styleId="nfasisintenso">
    <w:name w:val="Intense Emphasis"/>
    <w:basedOn w:val="Fuentedeprrafopredeter"/>
    <w:uiPriority w:val="21"/>
    <w:qFormat/>
    <w:rsid w:val="00200342"/>
    <w:rPr>
      <w:i/>
      <w:iCs/>
      <w:color w:val="0F4761" w:themeColor="accent1" w:themeShade="BF"/>
    </w:rPr>
  </w:style>
  <w:style w:type="paragraph" w:styleId="Citadestacada">
    <w:name w:val="Intense Quote"/>
    <w:basedOn w:val="Normal"/>
    <w:next w:val="Normal"/>
    <w:link w:val="CitadestacadaCar"/>
    <w:uiPriority w:val="30"/>
    <w:qFormat/>
    <w:rsid w:val="00200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0342"/>
    <w:rPr>
      <w:i/>
      <w:iCs/>
      <w:color w:val="0F4761" w:themeColor="accent1" w:themeShade="BF"/>
    </w:rPr>
  </w:style>
  <w:style w:type="character" w:styleId="Referenciaintensa">
    <w:name w:val="Intense Reference"/>
    <w:basedOn w:val="Fuentedeprrafopredeter"/>
    <w:uiPriority w:val="32"/>
    <w:qFormat/>
    <w:rsid w:val="00200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2778</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Maria Guinea Ibañez De Garayo</dc:creator>
  <cp:keywords/>
  <dc:description/>
  <cp:lastModifiedBy>Luis Guinea</cp:lastModifiedBy>
  <cp:revision>1</cp:revision>
  <dcterms:created xsi:type="dcterms:W3CDTF">2025-12-29T10:24:00Z</dcterms:created>
  <dcterms:modified xsi:type="dcterms:W3CDTF">2025-12-29T10:25:00Z</dcterms:modified>
</cp:coreProperties>
</file>