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B506" w14:textId="04A7C340" w:rsidR="001A5000" w:rsidRDefault="007A25FA">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Bloque II: Europa (La Península Atlántica y su Frontera Oriental)</w:t>
      </w:r>
    </w:p>
    <w:p w14:paraId="09409986" w14:textId="77777777" w:rsidR="001A5000" w:rsidRDefault="007A25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Zonas UTM Principales: 29 a 35 (</w:t>
      </w:r>
      <w:proofErr w:type="gramStart"/>
      <w:r>
        <w:rPr>
          <w:rFonts w:ascii="Google Sans Text" w:eastAsia="Google Sans Text" w:hAnsi="Google Sans Text" w:cs="Google Sans Text"/>
        </w:rPr>
        <w:t>Hemisferio Norte</w:t>
      </w:r>
      <w:proofErr w:type="gramEnd"/>
      <w:r>
        <w:rPr>
          <w:rFonts w:ascii="Google Sans Text" w:eastAsia="Google Sans Text" w:hAnsi="Google Sans Text" w:cs="Google Sans Text"/>
        </w:rPr>
        <w:t>).</w:t>
      </w:r>
    </w:p>
    <w:p w14:paraId="0E4E6434" w14:textId="77777777" w:rsidR="001A5000" w:rsidRDefault="007A25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Composición Extendida: Unión Europea (UE-27), Reino Unido, EFTA (Noruega, Suiza, Islandia), Balcanes Occidentales y Ucrania.</w:t>
      </w:r>
    </w:p>
    <w:p w14:paraId="7066CD0B" w14:textId="77777777" w:rsidR="001A5000" w:rsidRDefault="007A25FA">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Perfil Espacial y Geográfico en la Retícula UTM</w:t>
      </w:r>
    </w:p>
    <w:p w14:paraId="32D51B01" w14:textId="77777777" w:rsidR="001A5000" w:rsidRDefault="007A25F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Europa se visualiza en la retícula UTM como una península densamente poblada y geográficamente fragmentada que ocupa las Zonas 29 a 35. A diferencia de la masividad continental de Norteamérica o Rusia, Europa es una colección de "bolsillos" geográficos —penínsulas, islas y llanuras confinadas— que ha fomentado históricamente la diversidad política pero también el conflicto.</w:t>
      </w:r>
    </w:p>
    <w:p w14:paraId="3479C084" w14:textId="77777777" w:rsidR="001A5000" w:rsidRDefault="007A25F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Zona 31 (que atraviesa Francia, Benelux y el oeste de Alemania) y la Zona 32 (Alemania central, Italia) constituyen la "Banana Azul", el eje de densidad industrial y demográfica histórica del continente. Sin embargo, en 2025, el foco geopolítico se ha desplazado violentamente hacia el este, a las Zonas 34 y 35, donde la frontera con el bloque ruso en Ucrania y los estados bálticos define la seguridad existencial del continente.</w:t>
      </w:r>
    </w:p>
    <w:p w14:paraId="3DDB68E9" w14:textId="77777777" w:rsidR="001A5000" w:rsidRDefault="007A25FA">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Dinámica Demográfica: El Invierno Poblacional</w:t>
      </w:r>
    </w:p>
    <w:p w14:paraId="25548E22" w14:textId="77777777" w:rsidR="001A5000" w:rsidRDefault="007A25F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La población agregada de esta "Gran Europa" se sitúa en torno a los </w:t>
      </w:r>
      <w:r>
        <w:rPr>
          <w:rFonts w:ascii="Google Sans Text" w:eastAsia="Google Sans Text" w:hAnsi="Google Sans Text" w:cs="Google Sans Text"/>
          <w:b/>
          <w:bCs/>
          <w:color w:val="1F1F1F"/>
        </w:rPr>
        <w:t>600 millones de habitantes</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11</w:t>
      </w:r>
      <w:r>
        <w:rPr>
          <w:rFonts w:ascii="Google Sans Text" w:eastAsia="Google Sans Text" w:hAnsi="Google Sans Text" w:cs="Google Sans Text"/>
          <w:color w:val="1F1F1F"/>
        </w:rPr>
        <w:t>, pero la tendencia subyacente es de estancamiento y declive estructural.</w:t>
      </w:r>
    </w:p>
    <w:p w14:paraId="37DD7FE0" w14:textId="77777777" w:rsidR="001A5000" w:rsidRDefault="007A25FA">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Envejecimiento:</w:t>
      </w:r>
      <w:r>
        <w:rPr>
          <w:rFonts w:ascii="Google Sans Text" w:eastAsia="Google Sans Text" w:hAnsi="Google Sans Text" w:cs="Google Sans Text"/>
          <w:color w:val="1F1F1F"/>
        </w:rPr>
        <w:t xml:space="preserve"> Europa es el bloque más envejecido del mundo junto con el Asia-Pacífico Avanzado. Países como Italia y Alemania enfrentan una contracción de la fuerza laboral nativa que pone en peligro la sostenibilidad de sus sistemas de bienestar social y pensiones.</w:t>
      </w:r>
    </w:p>
    <w:p w14:paraId="477F7FD4" w14:textId="77777777" w:rsidR="001A5000" w:rsidRDefault="007A25FA">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Migración:</w:t>
      </w:r>
      <w:r>
        <w:rPr>
          <w:rFonts w:ascii="Google Sans Text" w:eastAsia="Google Sans Text" w:hAnsi="Google Sans Text" w:cs="Google Sans Text"/>
          <w:color w:val="1F1F1F"/>
        </w:rPr>
        <w:t xml:space="preserve"> La migración, tanto </w:t>
      </w:r>
      <w:proofErr w:type="spellStart"/>
      <w:r>
        <w:rPr>
          <w:rFonts w:ascii="Google Sans Text" w:eastAsia="Google Sans Text" w:hAnsi="Google Sans Text" w:cs="Google Sans Text"/>
          <w:color w:val="1F1F1F"/>
        </w:rPr>
        <w:t>intra-europea</w:t>
      </w:r>
      <w:proofErr w:type="spellEnd"/>
      <w:r>
        <w:rPr>
          <w:rFonts w:ascii="Google Sans Text" w:eastAsia="Google Sans Text" w:hAnsi="Google Sans Text" w:cs="Google Sans Text"/>
          <w:color w:val="1F1F1F"/>
        </w:rPr>
        <w:t xml:space="preserve"> (del Este al Oeste) como </w:t>
      </w:r>
      <w:proofErr w:type="spellStart"/>
      <w:r>
        <w:rPr>
          <w:rFonts w:ascii="Google Sans Text" w:eastAsia="Google Sans Text" w:hAnsi="Google Sans Text" w:cs="Google Sans Text"/>
          <w:color w:val="1F1F1F"/>
        </w:rPr>
        <w:t>extra-europea</w:t>
      </w:r>
      <w:proofErr w:type="spellEnd"/>
      <w:r>
        <w:rPr>
          <w:rFonts w:ascii="Google Sans Text" w:eastAsia="Google Sans Text" w:hAnsi="Google Sans Text" w:cs="Google Sans Text"/>
          <w:color w:val="1F1F1F"/>
        </w:rPr>
        <w:t xml:space="preserve"> (desde África y Medio Oriente hacia las Zonas 30-33), es el único factor que mantiene el crecimiento demográfico en muchas naciones. Esto genera tensiones políticas internas que fragmentan la cohesión social necesaria para una política exterior unificada.</w:t>
      </w:r>
    </w:p>
    <w:p w14:paraId="0157BE7D" w14:textId="77777777" w:rsidR="001A5000" w:rsidRDefault="007A25FA">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Ucrania:</w:t>
      </w:r>
      <w:r>
        <w:rPr>
          <w:rFonts w:ascii="Google Sans Text" w:eastAsia="Google Sans Text" w:hAnsi="Google Sans Text" w:cs="Google Sans Text"/>
          <w:color w:val="1F1F1F"/>
        </w:rPr>
        <w:t xml:space="preserve"> La demografía de Ucrania ha sido devastada por la guerra, con millones de desplazados y una caída en la natalidad que tendrá repercusiones generacionales en la Zona 35/36.</w:t>
      </w:r>
      <w:r>
        <w:rPr>
          <w:rFonts w:ascii="Google Sans Text" w:eastAsia="Google Sans Text" w:hAnsi="Google Sans Text" w:cs="Google Sans Text"/>
          <w:color w:val="444746"/>
          <w:sz w:val="24"/>
          <w:szCs w:val="24"/>
          <w:vertAlign w:val="superscript"/>
        </w:rPr>
        <w:t>12</w:t>
      </w:r>
    </w:p>
    <w:p w14:paraId="1E33660D" w14:textId="77777777" w:rsidR="001A5000" w:rsidRDefault="007A25FA">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3.3 Perfil Económico: El Gigante Regulatorio bajo Presión</w:t>
      </w:r>
    </w:p>
    <w:p w14:paraId="34DED3BF" w14:textId="77777777" w:rsidR="001A5000" w:rsidRDefault="007A25F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Europa sigue siendo una superpotencia económica, con un </w:t>
      </w:r>
      <w:r>
        <w:rPr>
          <w:rFonts w:ascii="Google Sans Text" w:eastAsia="Google Sans Text" w:hAnsi="Google Sans Text" w:cs="Google Sans Text"/>
          <w:b/>
          <w:bCs/>
          <w:color w:val="1F1F1F"/>
        </w:rPr>
        <w:t>PIB Nominal combinado de ~$24 billones</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11</w:t>
      </w:r>
      <w:r>
        <w:rPr>
          <w:rFonts w:ascii="Google Sans Text" w:eastAsia="Google Sans Text" w:hAnsi="Google Sans Text" w:cs="Google Sans Text"/>
          <w:color w:val="1F1F1F"/>
        </w:rPr>
        <w:t>, rivalizando con China y Estados Unidos en tamaño de mercado.</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A5000" w14:paraId="1C02320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E0F41"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Entidad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C100A"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PIB Nominal (2025 </w:t>
            </w:r>
            <w:proofErr w:type="spellStart"/>
            <w:r>
              <w:rPr>
                <w:rFonts w:ascii="Google Sans Text" w:eastAsia="Google Sans Text" w:hAnsi="Google Sans Text" w:cs="Google Sans Text"/>
                <w:b/>
                <w:bCs/>
                <w:color w:val="1F1F1F"/>
              </w:rPr>
              <w:t>Est</w:t>
            </w:r>
            <w:proofErr w:type="spellEnd"/>
            <w:r>
              <w:rPr>
                <w:rFonts w:ascii="Google Sans Text" w:eastAsia="Google Sans Text" w:hAnsi="Google Sans Text" w:cs="Google Sans Text"/>
                <w:b/>
                <w:bC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FFC24"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PIB PPA (2025 </w:t>
            </w:r>
            <w:proofErr w:type="spellStart"/>
            <w:r>
              <w:rPr>
                <w:rFonts w:ascii="Google Sans Text" w:eastAsia="Google Sans Text" w:hAnsi="Google Sans Text" w:cs="Google Sans Text"/>
                <w:b/>
                <w:bCs/>
                <w:color w:val="1F1F1F"/>
              </w:rPr>
              <w:t>Est</w:t>
            </w:r>
            <w:proofErr w:type="spellEnd"/>
            <w:r>
              <w:rPr>
                <w:rFonts w:ascii="Google Sans Text" w:eastAsia="Google Sans Text" w:hAnsi="Google Sans Text" w:cs="Google Sans Text"/>
                <w:b/>
                <w:bC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8C6DE"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Característica Clave</w:t>
            </w:r>
          </w:p>
        </w:tc>
      </w:tr>
      <w:tr w:rsidR="001A5000" w14:paraId="368440D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6084B"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Unión Europea (EU-27)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B8DF3D"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~$19.9 Billones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5917A1"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~$29.2 Billones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C479D"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Mercado Único, Regulación</w:t>
            </w:r>
          </w:p>
        </w:tc>
      </w:tr>
      <w:tr w:rsidR="001A5000" w14:paraId="480A414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8DDD7"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Reino Unido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33122"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~$3.9 Billones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0CFBF"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~$4.2 Billones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ECFE3"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Servicios Financieros, </w:t>
            </w:r>
            <w:proofErr w:type="spellStart"/>
            <w:r>
              <w:rPr>
                <w:rFonts w:ascii="Google Sans Text" w:eastAsia="Google Sans Text" w:hAnsi="Google Sans Text" w:cs="Google Sans Text"/>
                <w:color w:val="1F1F1F"/>
              </w:rPr>
              <w:t>Tech</w:t>
            </w:r>
            <w:proofErr w:type="spellEnd"/>
          </w:p>
        </w:tc>
      </w:tr>
      <w:tr w:rsidR="001A5000" w14:paraId="0AB23D9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65C50"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Ucrania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05302"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~$180-200 MM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D6DC9"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~$500-600 MM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A98DD0"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Economía de Guerra/Reconstrucción</w:t>
            </w:r>
          </w:p>
        </w:tc>
      </w:tr>
      <w:tr w:rsidR="001A5000" w14:paraId="7B5D525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12882"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EFTA (Noruega/Suiza)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AC09F3"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~$1.2 Billones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67987"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 Billones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713078" w14:textId="77777777" w:rsidR="001A5000" w:rsidRDefault="007A25FA">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Energía, Banca, </w:t>
            </w:r>
            <w:proofErr w:type="spellStart"/>
            <w:r>
              <w:rPr>
                <w:rFonts w:ascii="Google Sans Text" w:eastAsia="Google Sans Text" w:hAnsi="Google Sans Text" w:cs="Google Sans Text"/>
                <w:color w:val="1F1F1F"/>
              </w:rPr>
              <w:t>Pharma</w:t>
            </w:r>
            <w:proofErr w:type="spellEnd"/>
          </w:p>
        </w:tc>
      </w:tr>
    </w:tbl>
    <w:p w14:paraId="462BEED4" w14:textId="77777777" w:rsidR="001A5000" w:rsidRDefault="007A25FA">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Fuente de datos:.</w:t>
      </w:r>
      <w:r>
        <w:rPr>
          <w:rFonts w:ascii="Google Sans Text" w:eastAsia="Google Sans Text" w:hAnsi="Google Sans Text" w:cs="Google Sans Text"/>
          <w:color w:val="444746"/>
          <w:sz w:val="24"/>
          <w:szCs w:val="24"/>
          <w:vertAlign w:val="superscript"/>
        </w:rPr>
        <w:t>11</w:t>
      </w:r>
    </w:p>
    <w:p w14:paraId="1E76092B" w14:textId="77777777" w:rsidR="001A5000" w:rsidRDefault="007A25F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modelo económico europeo, basado en la exportación de alto valor añadido (Alemania) y servicios de lujo/turismo (Francia, Italia, España), enfrenta una crisis de competitividad en 2025 debido a los altos costes energéticos derivados de la desconexión con Rusia. La "transición verde" es tanto una estrategia climática como de supervivencia geopolítica para reducir la dependencia de hidrocarburos importados. Sin embargo, Europa carece de gigantes tecnológicos propios comparables a los de EE. UU. (Zona 10) o China (Zona 50), lo que la deja vulnerable en la economía digital.</w:t>
      </w:r>
    </w:p>
    <w:p w14:paraId="314A7B68" w14:textId="77777777" w:rsidR="001A5000" w:rsidRDefault="007A25FA">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3.4 Fuerza Militar: El Despertar del Poder Duro</w:t>
      </w:r>
    </w:p>
    <w:p w14:paraId="116D14E2" w14:textId="77777777" w:rsidR="001A5000" w:rsidRDefault="007A25F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invasión rusa de Ucrania ha provocado una transformación radical en el perfil militar europeo. El pacifismo de la posguerra ha dado paso a una remilitarización acelerada.</w:t>
      </w:r>
    </w:p>
    <w:p w14:paraId="20C6DC40" w14:textId="77777777" w:rsidR="001A5000" w:rsidRDefault="007A25FA">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Gasto:</w:t>
      </w:r>
      <w:r>
        <w:rPr>
          <w:rFonts w:ascii="Google Sans Text" w:eastAsia="Google Sans Text" w:hAnsi="Google Sans Text" w:cs="Google Sans Text"/>
          <w:color w:val="1F1F1F"/>
        </w:rPr>
        <w:t xml:space="preserve"> El gasto militar combinado de la OTAN europea y sus socios ha aumentado drásticamente, superando los </w:t>
      </w:r>
      <w:r>
        <w:rPr>
          <w:rFonts w:ascii="Google Sans Text" w:eastAsia="Google Sans Text" w:hAnsi="Google Sans Text" w:cs="Google Sans Text"/>
          <w:b/>
          <w:bCs/>
          <w:color w:val="1F1F1F"/>
        </w:rPr>
        <w:t>$450-500 mil millones</w:t>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F1F1F"/>
        </w:rPr>
        <w:t xml:space="preserve"> Países como Alemania, Polonia y Suecia han elevado sus presupuestos por encima del 2% del PIB.</w:t>
      </w:r>
    </w:p>
    <w:p w14:paraId="07FC34EE" w14:textId="77777777" w:rsidR="001A5000" w:rsidRDefault="007A25FA">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Personal:</w:t>
      </w:r>
      <w:r>
        <w:rPr>
          <w:rFonts w:ascii="Google Sans Text" w:eastAsia="Google Sans Text" w:hAnsi="Google Sans Text" w:cs="Google Sans Text"/>
          <w:color w:val="1F1F1F"/>
        </w:rPr>
        <w:t xml:space="preserve"> Europa mantiene colectivamente casi </w:t>
      </w:r>
      <w:r>
        <w:rPr>
          <w:rFonts w:ascii="Google Sans Text" w:eastAsia="Google Sans Text" w:hAnsi="Google Sans Text" w:cs="Google Sans Text"/>
          <w:b/>
          <w:bCs/>
          <w:color w:val="1F1F1F"/>
        </w:rPr>
        <w:t>2.8 millones de efectivos</w:t>
      </w:r>
      <w:r>
        <w:rPr>
          <w:rFonts w:ascii="Google Sans Text" w:eastAsia="Google Sans Text" w:hAnsi="Google Sans Text" w:cs="Google Sans Text"/>
          <w:color w:val="1F1F1F"/>
        </w:rPr>
        <w:t xml:space="preserve"> (incluyendo reservas activas y movilización ucraniana).</w:t>
      </w:r>
      <w:r>
        <w:rPr>
          <w:rFonts w:ascii="Google Sans Text" w:eastAsia="Google Sans Text" w:hAnsi="Google Sans Text" w:cs="Google Sans Text"/>
          <w:color w:val="444746"/>
          <w:sz w:val="24"/>
          <w:szCs w:val="24"/>
          <w:vertAlign w:val="superscript"/>
        </w:rPr>
        <w:t>17</w:t>
      </w:r>
      <w:r>
        <w:rPr>
          <w:rFonts w:ascii="Google Sans Text" w:eastAsia="Google Sans Text" w:hAnsi="Google Sans Text" w:cs="Google Sans Text"/>
          <w:color w:val="1F1F1F"/>
        </w:rPr>
        <w:t xml:space="preserve"> Ucrania, por necesidad, posee el ejército más experimentado en combate de alta intensidad del continente.</w:t>
      </w:r>
    </w:p>
    <w:p w14:paraId="71875258" w14:textId="77777777" w:rsidR="001A5000" w:rsidRDefault="007A25FA">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lastRenderedPageBreak/>
        <w:t>Nuclear:</w:t>
      </w:r>
      <w:r>
        <w:rPr>
          <w:rFonts w:ascii="Google Sans Text" w:eastAsia="Google Sans Text" w:hAnsi="Google Sans Text" w:cs="Google Sans Text"/>
          <w:color w:val="1F1F1F"/>
        </w:rPr>
        <w:t xml:space="preserve"> A diferencia de bloques no nucleares, Europa posee disuasión independiente a través de Francia (~290 ojivas) y el Reino Unido (~225 ojivas) </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F1F1F"/>
        </w:rPr>
        <w:t>, proporcionando una segunda capacidad de ataque crítica aparte del paraguas estadounidense.</w:t>
      </w:r>
    </w:p>
    <w:p w14:paraId="1696DD76" w14:textId="63209F8B" w:rsidR="001A5000" w:rsidRDefault="007A25FA" w:rsidP="00B63892">
      <w:pPr>
        <w:pBdr>
          <w:top w:val="nil"/>
          <w:left w:val="nil"/>
          <w:bottom w:val="nil"/>
          <w:right w:val="nil"/>
          <w:between w:val="nil"/>
        </w:pBdr>
        <w:spacing w:before="240" w:after="240" w:line="275" w:lineRule="auto"/>
      </w:pPr>
      <w:r>
        <w:rPr>
          <w:rFonts w:ascii="Google Sans Text" w:eastAsia="Google Sans Text" w:hAnsi="Google Sans Text" w:cs="Google Sans Text"/>
          <w:color w:val="1F1F1F"/>
        </w:rPr>
        <w:t>La principal debilidad militar europea sigue siendo la fragmentación de su industria de defensa y la dependencia logística de Estados Unidos para operaciones sostenidas a gran escala.</w:t>
      </w:r>
    </w:p>
    <w:sectPr w:rsidR="001A500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5F45079-43E1-41FC-AD9C-CDF8B1089660}"/>
  </w:font>
  <w:font w:name="Google Sans">
    <w:altName w:val="Calibri"/>
    <w:charset w:val="00"/>
    <w:family w:val="auto"/>
    <w:pitch w:val="default"/>
    <w:embedBold r:id="rId2" w:fontKey="{831EA69E-FDA5-473F-8F81-88C2645E0F6A}"/>
  </w:font>
  <w:font w:name="Google Sans Text">
    <w:charset w:val="00"/>
    <w:family w:val="auto"/>
    <w:pitch w:val="default"/>
    <w:embedRegular r:id="rId3" w:fontKey="{4A9B0279-BC2C-477C-A39E-C43B9D6CB8EF}"/>
    <w:embedBold r:id="rId4" w:fontKey="{FADE954A-1AD5-4457-89FB-C200D53D313A}"/>
  </w:font>
  <w:font w:name="Calibri">
    <w:panose1 w:val="020F0502020204030204"/>
    <w:charset w:val="00"/>
    <w:family w:val="swiss"/>
    <w:pitch w:val="variable"/>
    <w:sig w:usb0="E4002EFF" w:usb1="C200247B" w:usb2="00000009" w:usb3="00000000" w:csb0="000001FF" w:csb1="00000000"/>
    <w:embedRegular r:id="rId5" w:fontKey="{4BCCC699-AD98-4042-A8E3-89B52660AE32}"/>
  </w:font>
  <w:font w:name="Cambria">
    <w:panose1 w:val="02040503050406030204"/>
    <w:charset w:val="00"/>
    <w:family w:val="roman"/>
    <w:pitch w:val="variable"/>
    <w:sig w:usb0="E00006FF" w:usb1="420024FF" w:usb2="02000000" w:usb3="00000000" w:csb0="0000019F" w:csb1="00000000"/>
    <w:embedRegular r:id="rId6" w:fontKey="{E7D480D8-AD11-4D40-B938-776A775BB3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0378"/>
    <w:multiLevelType w:val="multilevel"/>
    <w:tmpl w:val="7AEE8D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D8797A"/>
    <w:multiLevelType w:val="multilevel"/>
    <w:tmpl w:val="0302A4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524129"/>
    <w:multiLevelType w:val="multilevel"/>
    <w:tmpl w:val="1270B5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2336AAF"/>
    <w:multiLevelType w:val="multilevel"/>
    <w:tmpl w:val="2996B0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36004EF"/>
    <w:multiLevelType w:val="multilevel"/>
    <w:tmpl w:val="0AF6F7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C13407"/>
    <w:multiLevelType w:val="multilevel"/>
    <w:tmpl w:val="773CD6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6295275"/>
    <w:multiLevelType w:val="multilevel"/>
    <w:tmpl w:val="329AA9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83E38EB"/>
    <w:multiLevelType w:val="multilevel"/>
    <w:tmpl w:val="A7365B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9B01EAF"/>
    <w:multiLevelType w:val="multilevel"/>
    <w:tmpl w:val="B46409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A695828"/>
    <w:multiLevelType w:val="multilevel"/>
    <w:tmpl w:val="877AEC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CD268AB"/>
    <w:multiLevelType w:val="multilevel"/>
    <w:tmpl w:val="4D145D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D1C7183"/>
    <w:multiLevelType w:val="multilevel"/>
    <w:tmpl w:val="E1A8A9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85B6672"/>
    <w:multiLevelType w:val="multilevel"/>
    <w:tmpl w:val="0360DA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85D421E"/>
    <w:multiLevelType w:val="multilevel"/>
    <w:tmpl w:val="806A05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3FD3B2E"/>
    <w:multiLevelType w:val="multilevel"/>
    <w:tmpl w:val="267484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D62299F"/>
    <w:multiLevelType w:val="multilevel"/>
    <w:tmpl w:val="CCCAE8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97A1225"/>
    <w:multiLevelType w:val="multilevel"/>
    <w:tmpl w:val="993E70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F42522A"/>
    <w:multiLevelType w:val="multilevel"/>
    <w:tmpl w:val="993075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6FD5D83"/>
    <w:multiLevelType w:val="multilevel"/>
    <w:tmpl w:val="61E4F9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A4B280B"/>
    <w:multiLevelType w:val="multilevel"/>
    <w:tmpl w:val="DB18AB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12312CB"/>
    <w:multiLevelType w:val="multilevel"/>
    <w:tmpl w:val="725E01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82B5AAF"/>
    <w:multiLevelType w:val="multilevel"/>
    <w:tmpl w:val="84C043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32894336">
    <w:abstractNumId w:val="1"/>
  </w:num>
  <w:num w:numId="2" w16cid:durableId="1775704069">
    <w:abstractNumId w:val="6"/>
  </w:num>
  <w:num w:numId="3" w16cid:durableId="1129517823">
    <w:abstractNumId w:val="21"/>
  </w:num>
  <w:num w:numId="4" w16cid:durableId="1576431503">
    <w:abstractNumId w:val="17"/>
  </w:num>
  <w:num w:numId="5" w16cid:durableId="1791124155">
    <w:abstractNumId w:val="14"/>
  </w:num>
  <w:num w:numId="6" w16cid:durableId="1666394585">
    <w:abstractNumId w:val="19"/>
  </w:num>
  <w:num w:numId="7" w16cid:durableId="857424288">
    <w:abstractNumId w:val="18"/>
  </w:num>
  <w:num w:numId="8" w16cid:durableId="169949142">
    <w:abstractNumId w:val="3"/>
  </w:num>
  <w:num w:numId="9" w16cid:durableId="894587637">
    <w:abstractNumId w:val="16"/>
  </w:num>
  <w:num w:numId="10" w16cid:durableId="1330600448">
    <w:abstractNumId w:val="0"/>
  </w:num>
  <w:num w:numId="11" w16cid:durableId="780413076">
    <w:abstractNumId w:val="11"/>
  </w:num>
  <w:num w:numId="12" w16cid:durableId="397096945">
    <w:abstractNumId w:val="13"/>
  </w:num>
  <w:num w:numId="13" w16cid:durableId="177234873">
    <w:abstractNumId w:val="8"/>
  </w:num>
  <w:num w:numId="14" w16cid:durableId="815032091">
    <w:abstractNumId w:val="4"/>
  </w:num>
  <w:num w:numId="15" w16cid:durableId="1449351370">
    <w:abstractNumId w:val="12"/>
  </w:num>
  <w:num w:numId="16" w16cid:durableId="1273636556">
    <w:abstractNumId w:val="7"/>
  </w:num>
  <w:num w:numId="17" w16cid:durableId="1235356297">
    <w:abstractNumId w:val="9"/>
  </w:num>
  <w:num w:numId="18" w16cid:durableId="1675912958">
    <w:abstractNumId w:val="2"/>
  </w:num>
  <w:num w:numId="19" w16cid:durableId="138233864">
    <w:abstractNumId w:val="10"/>
  </w:num>
  <w:num w:numId="20" w16cid:durableId="740831106">
    <w:abstractNumId w:val="20"/>
  </w:num>
  <w:num w:numId="21" w16cid:durableId="1360620721">
    <w:abstractNumId w:val="15"/>
  </w:num>
  <w:num w:numId="22" w16cid:durableId="291398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0"/>
    <w:rsid w:val="001A5000"/>
    <w:rsid w:val="006A2076"/>
    <w:rsid w:val="007A25FA"/>
    <w:rsid w:val="00B313E6"/>
    <w:rsid w:val="00B63892"/>
    <w:rsid w:val="00BD186B"/>
    <w:rsid w:val="00CC23CD"/>
    <w:rsid w:val="00FE28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5453"/>
  <w15:docId w15:val="{8C4D0C23-FBB6-4EBF-B79E-5580B9C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680</Words>
  <Characters>3743</Characters>
  <Application>Microsoft Office Word</Application>
  <DocSecurity>0</DocSecurity>
  <Lines>31</Lines>
  <Paragraphs>8</Paragraphs>
  <ScaleCrop>false</ScaleCrop>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Guinea</cp:lastModifiedBy>
  <cp:revision>4</cp:revision>
  <dcterms:created xsi:type="dcterms:W3CDTF">2025-12-22T12:58:00Z</dcterms:created>
  <dcterms:modified xsi:type="dcterms:W3CDTF">2025-12-22T21:34:00Z</dcterms:modified>
</cp:coreProperties>
</file>