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21872" w14:textId="053B1DFB" w:rsidR="001A5000" w:rsidRDefault="007D5794">
      <w:pPr>
        <w:pStyle w:val="Ttulo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4. Bloque III: Rusia y el Espacio </w:t>
      </w:r>
      <w:proofErr w:type="gramStart"/>
      <w:r>
        <w:rPr>
          <w:rFonts w:ascii="Google Sans" w:eastAsia="Google Sans" w:hAnsi="Google Sans" w:cs="Google Sans"/>
          <w:color w:val="1F1F1F"/>
        </w:rPr>
        <w:t>Post-Soviético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(Eurasia Norte)</w:t>
      </w:r>
    </w:p>
    <w:p w14:paraId="247081A4" w14:textId="77777777" w:rsidR="001A5000" w:rsidRDefault="007D579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Zonas UTM Principales: Abarca una inmensidad longitudinal desde la Zona 28 hasta la Zona 1 (a través del Estrecho de Bering), cubriendo las latitudes altas.</w:t>
      </w:r>
    </w:p>
    <w:p w14:paraId="0B2A3B36" w14:textId="77777777" w:rsidR="001A5000" w:rsidRDefault="007D579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Composición: Federación Rusa, Bielorrusia, Asia Central (Kazajistán, Uzbekistán, Kirguistán, Tayikistán, Turkmenistán), Cáucaso (Armenia, Azerbaiyán).</w:t>
      </w:r>
    </w:p>
    <w:p w14:paraId="6E2E36CB" w14:textId="77777777" w:rsidR="001A5000" w:rsidRDefault="007D5794">
      <w:pPr>
        <w:pStyle w:val="Ttulo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4.1 Perfil Espacial: La Inmensidad como Estrategia</w:t>
      </w:r>
    </w:p>
    <w:p w14:paraId="7DF90214" w14:textId="77777777" w:rsidR="001A5000" w:rsidRDefault="007D579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En el mapa UTM, Rusia aparece como el bloque más extenso, ocupando la mitad superior de casi 30 zonas. Con una superficie combinada superior a los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22 millones de km²</w:t>
      </w:r>
      <w:r>
        <w:rPr>
          <w:rFonts w:ascii="Google Sans Text" w:eastAsia="Google Sans Text" w:hAnsi="Google Sans Text" w:cs="Google Sans Text"/>
          <w:color w:val="1F1F1F"/>
        </w:rPr>
        <w:t xml:space="preserve"> 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19</w:t>
      </w:r>
      <w:r>
        <w:rPr>
          <w:rFonts w:ascii="Google Sans Text" w:eastAsia="Google Sans Text" w:hAnsi="Google Sans Text" w:cs="Google Sans Text"/>
          <w:color w:val="1F1F1F"/>
        </w:rPr>
        <w:t>, este bloque controla el "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Heartland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" euroasiático. Sin embargo, la utilidad de este territorio es desigual; la vasta mayoría de la población y la infraestructura económica se concentra en una franja estrecha en el sur de las Zonas 35 a 60. El calentamiento global está abriendo la Ruta del Mar del Norte, otorgando a Rusia un nuevo flanco marítimo estratégico en sus zonas árticas.</w:t>
      </w:r>
    </w:p>
    <w:p w14:paraId="54D1AEAD" w14:textId="77777777" w:rsidR="001A5000" w:rsidRDefault="007D5794">
      <w:pPr>
        <w:pStyle w:val="Ttulo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4.2 Dinámica Demográfica: Asimetría Eslava-Túrquica</w:t>
      </w:r>
    </w:p>
    <w:p w14:paraId="0B2714F8" w14:textId="77777777" w:rsidR="001A5000" w:rsidRDefault="007D5794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La población total del bloque ronda los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245-250 millones</w:t>
      </w:r>
      <w:r>
        <w:rPr>
          <w:rFonts w:ascii="Google Sans Text" w:eastAsia="Google Sans Text" w:hAnsi="Google Sans Text" w:cs="Google Sans Text"/>
          <w:color w:val="1F1F1F"/>
        </w:rPr>
        <w:t xml:space="preserve"> 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20</w:t>
      </w:r>
      <w:r>
        <w:rPr>
          <w:rFonts w:ascii="Google Sans Text" w:eastAsia="Google Sans Text" w:hAnsi="Google Sans Text" w:cs="Google Sans Text"/>
          <w:color w:val="1F1F1F"/>
        </w:rPr>
        <w:t>, pero presenta una dicotomía interna aguda.</w:t>
      </w:r>
    </w:p>
    <w:p w14:paraId="755C13B4" w14:textId="77777777" w:rsidR="001A5000" w:rsidRDefault="007D5794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Rusia:</w:t>
      </w:r>
      <w:r>
        <w:rPr>
          <w:rFonts w:ascii="Google Sans Text" w:eastAsia="Google Sans Text" w:hAnsi="Google Sans Text" w:cs="Google Sans Text"/>
          <w:color w:val="1F1F1F"/>
        </w:rPr>
        <w:t xml:space="preserve"> Con ~144 millones, sufre un declive demográfico natural exacerbado por las bajas de guerra y la emigración de talento joven. La "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eslavización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" del núcleo se ve desafiada por tasas de natalidad más altas en sus repúblicas musulmanas internas.</w:t>
      </w:r>
    </w:p>
    <w:p w14:paraId="686CE7A2" w14:textId="77777777" w:rsidR="001A5000" w:rsidRDefault="007D5794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Asia Central:</w:t>
      </w:r>
      <w:r>
        <w:rPr>
          <w:rFonts w:ascii="Google Sans Text" w:eastAsia="Google Sans Text" w:hAnsi="Google Sans Text" w:cs="Google Sans Text"/>
          <w:color w:val="1F1F1F"/>
        </w:rPr>
        <w:t xml:space="preserve"> Con más de 80 millones de habitantes, esta subregión es joven y está en crecimiento. Uzbekistán (~36 millones) se está convirtiendo en un centro de gravedad demográfico alternativo dentro del espacio 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post-soviético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21</w:t>
      </w:r>
      <w:r>
        <w:rPr>
          <w:rFonts w:ascii="Google Sans Text" w:eastAsia="Google Sans Text" w:hAnsi="Google Sans Text" w:cs="Google Sans Text"/>
          <w:color w:val="1F1F1F"/>
        </w:rPr>
        <w:t xml:space="preserve"> Esta divergencia crea una dependencia a largo plazo de Rusia hacia la mano de obra migrante de Asia Central para sostener su economía.</w:t>
      </w:r>
    </w:p>
    <w:p w14:paraId="34FF2CCF" w14:textId="77777777" w:rsidR="001A5000" w:rsidRDefault="007D5794">
      <w:pPr>
        <w:pStyle w:val="Ttulo3"/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4.3 Perfil Económico: La Fortaleza de Recursos</w:t>
      </w:r>
    </w:p>
    <w:p w14:paraId="3C66DDD0" w14:textId="77777777" w:rsidR="001A5000" w:rsidRDefault="007D5794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Económicamente, el bloque es una superpotencia de materias primas pero un enano en manufactura avanzada y servicios.</w:t>
      </w:r>
    </w:p>
    <w:p w14:paraId="51583B85" w14:textId="77777777" w:rsidR="001A5000" w:rsidRDefault="007D5794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PIB Nominal:</w:t>
      </w:r>
      <w:r>
        <w:rPr>
          <w:rFonts w:ascii="Google Sans Text" w:eastAsia="Google Sans Text" w:hAnsi="Google Sans Text" w:cs="Google Sans Text"/>
          <w:color w:val="1F1F1F"/>
        </w:rPr>
        <w:t xml:space="preserve"> Rusia (~$2.0-2.2 billones) y el resto del bloque suman poco más de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$2.5 billones</w:t>
      </w:r>
      <w:r>
        <w:rPr>
          <w:rFonts w:ascii="Google Sans Text" w:eastAsia="Google Sans Text" w:hAnsi="Google Sans Text" w:cs="Google Sans Text"/>
          <w:color w:val="1F1F1F"/>
        </w:rPr>
        <w:t xml:space="preserve"> nominales 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22</w:t>
      </w:r>
      <w:r>
        <w:rPr>
          <w:rFonts w:ascii="Google Sans Text" w:eastAsia="Google Sans Text" w:hAnsi="Google Sans Text" w:cs="Google Sans Text"/>
          <w:color w:val="1F1F1F"/>
        </w:rPr>
        <w:t>, comparable a una sola nación europea grande como Francia.</w:t>
      </w:r>
    </w:p>
    <w:p w14:paraId="40F037AE" w14:textId="77777777" w:rsidR="001A5000" w:rsidRDefault="007D5794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PIB PPA:</w:t>
      </w:r>
      <w:r>
        <w:rPr>
          <w:rFonts w:ascii="Google Sans Text" w:eastAsia="Google Sans Text" w:hAnsi="Google Sans Text" w:cs="Google Sans Text"/>
          <w:color w:val="1F1F1F"/>
        </w:rPr>
        <w:t xml:space="preserve"> Ajustado por paridad de poder adquisitivo, el peso del bloque es mucho mayor, con Rusia sola alcanzando los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$6 billones (PPA)</w:t>
      </w:r>
      <w:r>
        <w:rPr>
          <w:rFonts w:ascii="Google Sans Text" w:eastAsia="Google Sans Text" w:hAnsi="Google Sans Text" w:cs="Google Sans Text"/>
          <w:color w:val="1F1F1F"/>
        </w:rPr>
        <w:t>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7</w:t>
      </w:r>
      <w:r>
        <w:rPr>
          <w:rFonts w:ascii="Google Sans Text" w:eastAsia="Google Sans Text" w:hAnsi="Google Sans Text" w:cs="Google Sans Text"/>
          <w:color w:val="1F1F1F"/>
        </w:rPr>
        <w:t xml:space="preserve"> Esto explica la capacidad del Kremlin para sostener un esfuerzo de guerra prolongado y resistir sanciones: la economía real (comida, energía, acero) es robusta y autosuficiente.</w:t>
      </w:r>
    </w:p>
    <w:p w14:paraId="5A94EA4C" w14:textId="77777777" w:rsidR="001A5000" w:rsidRDefault="007D5794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lastRenderedPageBreak/>
        <w:t>El bloque actúa como el proveedor energético de China (Bloque IX) y el Sur Global, reorientando sus gasoductos y flujos comerciales desde las Zonas Europeas (oeste) hacia las Zonas Asiáticas (este), completando un giro histórico en su orientación geoeconómica.</w:t>
      </w:r>
    </w:p>
    <w:p w14:paraId="1DED4884" w14:textId="77777777" w:rsidR="001A5000" w:rsidRDefault="007D5794">
      <w:pPr>
        <w:pStyle w:val="Ttulo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4.4 Fuerza Militar: La Potencia Unidimensional</w:t>
      </w:r>
    </w:p>
    <w:p w14:paraId="3303C0CD" w14:textId="77777777" w:rsidR="001A5000" w:rsidRDefault="007D5794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Rusia sigue siendo el actor militar dominante, aunque su reputación convencional ha sufrido.</w:t>
      </w:r>
    </w:p>
    <w:p w14:paraId="320851F0" w14:textId="77777777" w:rsidR="001A5000" w:rsidRDefault="007D5794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Arsenal Nuclear:</w:t>
      </w:r>
      <w:r>
        <w:rPr>
          <w:rFonts w:ascii="Google Sans Text" w:eastAsia="Google Sans Text" w:hAnsi="Google Sans Text" w:cs="Google Sans Text"/>
          <w:color w:val="1F1F1F"/>
        </w:rPr>
        <w:t xml:space="preserve"> Con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~5,580 ojivas</w:t>
      </w:r>
      <w:r>
        <w:rPr>
          <w:rFonts w:ascii="Google Sans Text" w:eastAsia="Google Sans Text" w:hAnsi="Google Sans Text" w:cs="Google Sans Text"/>
          <w:color w:val="1F1F1F"/>
        </w:rPr>
        <w:t xml:space="preserve"> 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10</w:t>
      </w:r>
      <w:r>
        <w:rPr>
          <w:rFonts w:ascii="Google Sans Text" w:eastAsia="Google Sans Text" w:hAnsi="Google Sans Text" w:cs="Google Sans Text"/>
          <w:color w:val="1F1F1F"/>
        </w:rPr>
        <w:t>, Rusia posee el mayor arsenal nuclear del mundo. Esta capacidad es el garante último de la soberanía del bloque y su estatus de gran potencia, disuadiendo la intervención directa de la OTAN.</w:t>
      </w:r>
    </w:p>
    <w:p w14:paraId="043C3963" w14:textId="77777777" w:rsidR="001A5000" w:rsidRDefault="007D5794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Convencional:</w:t>
      </w:r>
      <w:r>
        <w:rPr>
          <w:rFonts w:ascii="Google Sans Text" w:eastAsia="Google Sans Text" w:hAnsi="Google Sans Text" w:cs="Google Sans Text"/>
          <w:color w:val="1F1F1F"/>
        </w:rPr>
        <w:t xml:space="preserve"> El ejército ruso (~1.32 millones activos teóricos) 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23</w:t>
      </w:r>
      <w:r>
        <w:rPr>
          <w:rFonts w:ascii="Google Sans Text" w:eastAsia="Google Sans Text" w:hAnsi="Google Sans Text" w:cs="Google Sans Text"/>
          <w:color w:val="1F1F1F"/>
        </w:rPr>
        <w:t xml:space="preserve"> se ha transformado en una fuerza de combate endurecida pero desgastada, apoyada por una industria militar que ha pasado a "modo de guerra", produciendo tanques y municiones a tasas que superan la producción occidental actual.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24</w:t>
      </w:r>
    </w:p>
    <w:p w14:paraId="1696DD76" w14:textId="14F8CF06" w:rsidR="001A5000" w:rsidRDefault="007D5794" w:rsidP="00B748E5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CSTO:</w:t>
      </w:r>
      <w:r>
        <w:rPr>
          <w:rFonts w:ascii="Google Sans Text" w:eastAsia="Google Sans Text" w:hAnsi="Google Sans Text" w:cs="Google Sans Text"/>
          <w:color w:val="1F1F1F"/>
        </w:rPr>
        <w:t xml:space="preserve"> La Organización del Tratado de Seguridad Colectiva muestra grietas (distanciamiento de Armenia y Kazajistán), indicando que la hegemonía de Moscú sobre su periferia (Zonas 38-45) es más frágil que antes.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21</w:t>
      </w:r>
      <w:r w:rsidR="00B748E5">
        <w:t xml:space="preserve"> </w:t>
      </w:r>
    </w:p>
    <w:sectPr w:rsidR="001A5000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B7D5807A-CEB5-4932-8284-E92B01D458FA}"/>
  </w:font>
  <w:font w:name="Google Sans">
    <w:altName w:val="Calibri"/>
    <w:charset w:val="00"/>
    <w:family w:val="auto"/>
    <w:pitch w:val="default"/>
    <w:embedBold r:id="rId2" w:fontKey="{C828B212-EB13-40E6-A211-0329CD8D672E}"/>
  </w:font>
  <w:font w:name="Google Sans Text">
    <w:charset w:val="00"/>
    <w:family w:val="auto"/>
    <w:pitch w:val="default"/>
    <w:embedRegular r:id="rId3" w:fontKey="{65E6685D-A10C-4C8F-8ED5-23B27DED358C}"/>
    <w:embedBold r:id="rId4" w:fontKey="{FAE35145-2DD3-4BCA-BB47-C7D485B9FDE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A1739F9F-5B03-418C-BF95-AC0B0A2C441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5D9921BA-4E14-4F52-ADE4-7FE9C6130E7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60378"/>
    <w:multiLevelType w:val="multilevel"/>
    <w:tmpl w:val="7AEE8DF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FD8797A"/>
    <w:multiLevelType w:val="multilevel"/>
    <w:tmpl w:val="0302A43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0524129"/>
    <w:multiLevelType w:val="multilevel"/>
    <w:tmpl w:val="1270B56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2336AAF"/>
    <w:multiLevelType w:val="multilevel"/>
    <w:tmpl w:val="2996B016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136004EF"/>
    <w:multiLevelType w:val="multilevel"/>
    <w:tmpl w:val="0AF6F7D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15C13407"/>
    <w:multiLevelType w:val="multilevel"/>
    <w:tmpl w:val="773CD6C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16295275"/>
    <w:multiLevelType w:val="multilevel"/>
    <w:tmpl w:val="329AA93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183E38EB"/>
    <w:multiLevelType w:val="multilevel"/>
    <w:tmpl w:val="A7365BE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19B01EAF"/>
    <w:multiLevelType w:val="multilevel"/>
    <w:tmpl w:val="B464095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1A695828"/>
    <w:multiLevelType w:val="multilevel"/>
    <w:tmpl w:val="877AECB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1CD268AB"/>
    <w:multiLevelType w:val="multilevel"/>
    <w:tmpl w:val="4D145DA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1D1C7183"/>
    <w:multiLevelType w:val="multilevel"/>
    <w:tmpl w:val="E1A8A9F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285B6672"/>
    <w:multiLevelType w:val="multilevel"/>
    <w:tmpl w:val="0360DA1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285D421E"/>
    <w:multiLevelType w:val="multilevel"/>
    <w:tmpl w:val="806A05E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33FD3B2E"/>
    <w:multiLevelType w:val="multilevel"/>
    <w:tmpl w:val="2674843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3D62299F"/>
    <w:multiLevelType w:val="multilevel"/>
    <w:tmpl w:val="CCCAE81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497A1225"/>
    <w:multiLevelType w:val="multilevel"/>
    <w:tmpl w:val="993E700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4F42522A"/>
    <w:multiLevelType w:val="multilevel"/>
    <w:tmpl w:val="9930758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56FD5D83"/>
    <w:multiLevelType w:val="multilevel"/>
    <w:tmpl w:val="61E4F9E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 w15:restartNumberingAfterBreak="0">
    <w:nsid w:val="5A4B280B"/>
    <w:multiLevelType w:val="multilevel"/>
    <w:tmpl w:val="DB18ABC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" w15:restartNumberingAfterBreak="0">
    <w:nsid w:val="712312CB"/>
    <w:multiLevelType w:val="multilevel"/>
    <w:tmpl w:val="725E013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1" w15:restartNumberingAfterBreak="0">
    <w:nsid w:val="782B5AAF"/>
    <w:multiLevelType w:val="multilevel"/>
    <w:tmpl w:val="84C0434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432894336">
    <w:abstractNumId w:val="1"/>
  </w:num>
  <w:num w:numId="2" w16cid:durableId="1775704069">
    <w:abstractNumId w:val="6"/>
  </w:num>
  <w:num w:numId="3" w16cid:durableId="1129517823">
    <w:abstractNumId w:val="21"/>
  </w:num>
  <w:num w:numId="4" w16cid:durableId="1576431503">
    <w:abstractNumId w:val="17"/>
  </w:num>
  <w:num w:numId="5" w16cid:durableId="1791124155">
    <w:abstractNumId w:val="14"/>
  </w:num>
  <w:num w:numId="6" w16cid:durableId="1666394585">
    <w:abstractNumId w:val="19"/>
  </w:num>
  <w:num w:numId="7" w16cid:durableId="857424288">
    <w:abstractNumId w:val="18"/>
  </w:num>
  <w:num w:numId="8" w16cid:durableId="169949142">
    <w:abstractNumId w:val="3"/>
  </w:num>
  <w:num w:numId="9" w16cid:durableId="894587637">
    <w:abstractNumId w:val="16"/>
  </w:num>
  <w:num w:numId="10" w16cid:durableId="1330600448">
    <w:abstractNumId w:val="0"/>
  </w:num>
  <w:num w:numId="11" w16cid:durableId="780413076">
    <w:abstractNumId w:val="11"/>
  </w:num>
  <w:num w:numId="12" w16cid:durableId="397096945">
    <w:abstractNumId w:val="13"/>
  </w:num>
  <w:num w:numId="13" w16cid:durableId="177234873">
    <w:abstractNumId w:val="8"/>
  </w:num>
  <w:num w:numId="14" w16cid:durableId="815032091">
    <w:abstractNumId w:val="4"/>
  </w:num>
  <w:num w:numId="15" w16cid:durableId="1449351370">
    <w:abstractNumId w:val="12"/>
  </w:num>
  <w:num w:numId="16" w16cid:durableId="1273636556">
    <w:abstractNumId w:val="7"/>
  </w:num>
  <w:num w:numId="17" w16cid:durableId="1235356297">
    <w:abstractNumId w:val="9"/>
  </w:num>
  <w:num w:numId="18" w16cid:durableId="1675912958">
    <w:abstractNumId w:val="2"/>
  </w:num>
  <w:num w:numId="19" w16cid:durableId="138233864">
    <w:abstractNumId w:val="10"/>
  </w:num>
  <w:num w:numId="20" w16cid:durableId="740831106">
    <w:abstractNumId w:val="20"/>
  </w:num>
  <w:num w:numId="21" w16cid:durableId="1360620721">
    <w:abstractNumId w:val="15"/>
  </w:num>
  <w:num w:numId="22" w16cid:durableId="2913987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5000"/>
    <w:rsid w:val="001A5000"/>
    <w:rsid w:val="006A2076"/>
    <w:rsid w:val="007A25FA"/>
    <w:rsid w:val="007D5794"/>
    <w:rsid w:val="00B313E6"/>
    <w:rsid w:val="00B748E5"/>
    <w:rsid w:val="00BD186B"/>
    <w:rsid w:val="00FE2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255453"/>
  <w15:docId w15:val="{8C4D0C23-FBB6-4EBF-B79E-5580B9CB9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543</Words>
  <Characters>2988</Characters>
  <Application>Microsoft Office Word</Application>
  <DocSecurity>0</DocSecurity>
  <Lines>24</Lines>
  <Paragraphs>7</Paragraphs>
  <ScaleCrop>false</ScaleCrop>
  <Company/>
  <LinksUpToDate>false</LinksUpToDate>
  <CharactersWithSpaces>3524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Luis Guinea</cp:lastModifiedBy>
  <cp:revision>3</cp:revision>
  <dcterms:created xsi:type="dcterms:W3CDTF">2025-12-22T12:59:00Z</dcterms:created>
  <dcterms:modified xsi:type="dcterms:W3CDTF">2025-12-22T21:32:00Z</dcterms:modified>
</cp:coreProperties>
</file>