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05DC" w14:textId="631B8D21" w:rsidR="001A5000" w:rsidRDefault="00E771B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Bloque IX: África (El Gigante Dormido)</w:t>
      </w:r>
    </w:p>
    <w:p w14:paraId="75EBA53B" w14:textId="77777777" w:rsidR="001A5000" w:rsidRDefault="00E771B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28 a 40 (Norte a Sur).</w:t>
      </w:r>
    </w:p>
    <w:p w14:paraId="6C2EC03E" w14:textId="77777777" w:rsidR="001A5000" w:rsidRDefault="00E771B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Continente Africano (54 estados).</w:t>
      </w:r>
    </w:p>
    <w:p w14:paraId="5891F572" w14:textId="77777777" w:rsidR="001A5000" w:rsidRDefault="00E771B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10.1 Perfil Geopolítico: El Futuro Demográfico</w:t>
      </w:r>
    </w:p>
    <w:p w14:paraId="7281F80B" w14:textId="77777777" w:rsidR="001A5000" w:rsidRDefault="00E771B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África es el único bloque que experimentará una explosión demográfica en el siglo XXI.</w:t>
      </w:r>
    </w:p>
    <w:p w14:paraId="7F15B1D5" w14:textId="77777777" w:rsidR="001A5000" w:rsidRDefault="00E771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Población:</w:t>
      </w:r>
      <w:r>
        <w:rPr>
          <w:rFonts w:ascii="Google Sans Text" w:eastAsia="Google Sans Text" w:hAnsi="Google Sans Text" w:cs="Google Sans Text"/>
          <w:color w:val="1F1F1F"/>
        </w:rPr>
        <w:t xml:space="preserve"> ~1,515 millones (2024), proyectada a duplicarse para 2050.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37</w:t>
      </w:r>
      <w:r>
        <w:rPr>
          <w:rFonts w:ascii="Google Sans Text" w:eastAsia="Google Sans Text" w:hAnsi="Google Sans Text" w:cs="Google Sans Text"/>
          <w:color w:val="1F1F1F"/>
        </w:rPr>
        <w:t xml:space="preserve"> La juventud africana será la reserva de mano de obra del mundo cuando el resto de los bloques envejezcan.</w:t>
      </w:r>
    </w:p>
    <w:p w14:paraId="7E5431AF" w14:textId="77777777" w:rsidR="001A5000" w:rsidRDefault="00E771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Economía:</w:t>
      </w:r>
      <w:r>
        <w:rPr>
          <w:rFonts w:ascii="Google Sans Text" w:eastAsia="Google Sans Text" w:hAnsi="Google Sans Text" w:cs="Google Sans Text"/>
          <w:color w:val="1F1F1F"/>
        </w:rPr>
        <w:t xml:space="preserve"> PIB Nominal de ~$2.8 billones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38</w:t>
      </w:r>
      <w:r>
        <w:rPr>
          <w:rFonts w:ascii="Google Sans Text" w:eastAsia="Google Sans Text" w:hAnsi="Google Sans Text" w:cs="Google Sans Text"/>
          <w:color w:val="1F1F1F"/>
        </w:rPr>
        <w:t>, fragmentado y dependiente de la exportación de materias primas. Sin embargo, el Área de Libre Comercio Continental Africana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AfCFTA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promete integrar este mercado masivo.</w:t>
      </w:r>
    </w:p>
    <w:p w14:paraId="1696DD76" w14:textId="2FA596A9" w:rsidR="001A5000" w:rsidRDefault="00E771BB" w:rsidP="004555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Recursos:</w:t>
      </w:r>
      <w:r>
        <w:rPr>
          <w:rFonts w:ascii="Google Sans Text" w:eastAsia="Google Sans Text" w:hAnsi="Google Sans Text" w:cs="Google Sans Text"/>
          <w:color w:val="1F1F1F"/>
        </w:rPr>
        <w:t xml:space="preserve"> Posee minerales críticos (cobalto, litio, tierras raras) esenciales para la transición energética global, convirtiéndola en terreno de competencia entre China, Europa y EE. UU..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39</w:t>
      </w:r>
      <w:r w:rsidR="00455528">
        <w:t xml:space="preserve"> 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C51821-8C59-41D4-8141-C7D65EAA71C8}"/>
  </w:font>
  <w:font w:name="Google Sans">
    <w:altName w:val="Calibri"/>
    <w:charset w:val="00"/>
    <w:family w:val="auto"/>
    <w:pitch w:val="default"/>
    <w:embedBold r:id="rId2" w:fontKey="{F4A0E7D6-F811-40EE-9162-67D482DA0465}"/>
  </w:font>
  <w:font w:name="Google Sans Text">
    <w:charset w:val="00"/>
    <w:family w:val="auto"/>
    <w:pitch w:val="default"/>
    <w:embedRegular r:id="rId3" w:fontKey="{A4547047-E03E-46B5-A9FE-0E2692E42FBF}"/>
    <w:embedBold r:id="rId4" w:fontKey="{6EE64CDF-E8C4-42D8-9D5E-1067028F2D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069700A-6C90-4623-8061-4BBEAA4FA3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13E4E70-9FD0-48E4-B483-77AA436757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455528"/>
    <w:rsid w:val="004913C2"/>
    <w:rsid w:val="00656854"/>
    <w:rsid w:val="006A2076"/>
    <w:rsid w:val="006D3F6C"/>
    <w:rsid w:val="007A25FA"/>
    <w:rsid w:val="007D5794"/>
    <w:rsid w:val="008D5C33"/>
    <w:rsid w:val="00B313E6"/>
    <w:rsid w:val="00BD186B"/>
    <w:rsid w:val="00E771BB"/>
    <w:rsid w:val="00F06450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3</cp:revision>
  <dcterms:created xsi:type="dcterms:W3CDTF">2025-12-22T21:07:00Z</dcterms:created>
  <dcterms:modified xsi:type="dcterms:W3CDTF">2025-12-22T21:17:00Z</dcterms:modified>
</cp:coreProperties>
</file>