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9EB6" w14:textId="391A472D" w:rsidR="001A5000" w:rsidRDefault="004913C2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Bloque VIII: Medio Oriente y Turquía (El Pivote Energético)</w:t>
      </w:r>
    </w:p>
    <w:p w14:paraId="1AE987FB" w14:textId="77777777" w:rsidR="001A5000" w:rsidRDefault="004913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35 a 40.</w:t>
      </w:r>
    </w:p>
    <w:p w14:paraId="0C127630" w14:textId="77777777" w:rsidR="001A5000" w:rsidRDefault="004913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Turquía, Irán, Arabia Saudita, Estados del Golfo, Israel, Irak, Siria, Egipto (geopolíticamente pivotante).</w:t>
      </w:r>
    </w:p>
    <w:p w14:paraId="3B4CC649" w14:textId="77777777" w:rsidR="001A5000" w:rsidRDefault="004913C2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9.1 Perfil Geopolítico: El </w:t>
      </w:r>
      <w:proofErr w:type="spellStart"/>
      <w:r>
        <w:rPr>
          <w:rFonts w:ascii="Google Sans" w:eastAsia="Google Sans" w:hAnsi="Google Sans" w:cs="Google Sans"/>
          <w:color w:val="1F1F1F"/>
        </w:rPr>
        <w:t>Shatterbelt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</w:t>
      </w:r>
    </w:p>
    <w:p w14:paraId="0B5FB6DD" w14:textId="77777777" w:rsidR="001A5000" w:rsidRDefault="004913C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Ubicado en la intersección de Europa, Asia y África, este bloque es indispensable por sus recursos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energéticos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pero crónicamente inestable. Turquía (Zona 35-37) actúa como un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sub-bloque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autónomo, proyectando influencia hacia Europa, Asia Central y África.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34</w:t>
      </w:r>
    </w:p>
    <w:p w14:paraId="71F6F5AD" w14:textId="77777777" w:rsidR="001A5000" w:rsidRDefault="004913C2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9.2 Economía: </w:t>
      </w:r>
      <w:proofErr w:type="spellStart"/>
      <w:r>
        <w:rPr>
          <w:rFonts w:ascii="Google Sans" w:eastAsia="Google Sans" w:hAnsi="Google Sans" w:cs="Google Sans"/>
          <w:color w:val="1F1F1F"/>
        </w:rPr>
        <w:t>Rentismo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Transformación</w:t>
      </w:r>
    </w:p>
    <w:p w14:paraId="2A3BF34C" w14:textId="77777777" w:rsidR="001A5000" w:rsidRDefault="004913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Nominal:</w:t>
      </w:r>
      <w:r>
        <w:rPr>
          <w:rFonts w:ascii="Google Sans Text" w:eastAsia="Google Sans Text" w:hAnsi="Google Sans Text" w:cs="Google Sans Text"/>
          <w:color w:val="1F1F1F"/>
        </w:rPr>
        <w:t xml:space="preserve"> ~$5.0 billones.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36</w:t>
      </w:r>
    </w:p>
    <w:p w14:paraId="58F1716A" w14:textId="77777777" w:rsidR="001A5000" w:rsidRDefault="004913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Energía:</w:t>
      </w:r>
      <w:r>
        <w:rPr>
          <w:rFonts w:ascii="Google Sans Text" w:eastAsia="Google Sans Text" w:hAnsi="Google Sans Text" w:cs="Google Sans Text"/>
          <w:color w:val="1F1F1F"/>
        </w:rPr>
        <w:t xml:space="preserve"> Controla ~48% de las reservas probadas de petróleo y ~40% de gas. Las monarquías del Golfo están utilizando sus inmensos fondos soberanos para diversificar sus economías (Visión 2030), convirtiéndose en actores financieros globales.</w:t>
      </w:r>
    </w:p>
    <w:p w14:paraId="4198E24C" w14:textId="77777777" w:rsidR="001A5000" w:rsidRDefault="004913C2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9.3 Militar: </w:t>
      </w:r>
      <w:proofErr w:type="spellStart"/>
      <w:r>
        <w:rPr>
          <w:rFonts w:ascii="Google Sans" w:eastAsia="Google Sans" w:hAnsi="Google Sans" w:cs="Google Sans"/>
          <w:color w:val="1F1F1F"/>
        </w:rPr>
        <w:t>Hiper-militarización</w:t>
      </w:r>
      <w:proofErr w:type="spellEnd"/>
    </w:p>
    <w:p w14:paraId="212E61F1" w14:textId="77777777" w:rsidR="001A5000" w:rsidRDefault="004913C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Gasto:</w:t>
      </w:r>
      <w:r>
        <w:rPr>
          <w:rFonts w:ascii="Google Sans Text" w:eastAsia="Google Sans Text" w:hAnsi="Google Sans Text" w:cs="Google Sans Text"/>
          <w:color w:val="1F1F1F"/>
        </w:rPr>
        <w:t xml:space="preserve"> La región tiene la carga militar (% de PIB) más alta del mundo. Arabia Saudita ($80MM) e Israel ($46MM, +65% en 2024 debido a la guerra) son los mayores gastadores.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</w:p>
    <w:p w14:paraId="1696DD76" w14:textId="06801398" w:rsidR="001A5000" w:rsidRDefault="004913C2" w:rsidP="004F56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Conflictos:</w:t>
      </w:r>
      <w:r>
        <w:rPr>
          <w:rFonts w:ascii="Google Sans Text" w:eastAsia="Google Sans Text" w:hAnsi="Google Sans Text" w:cs="Google Sans Text"/>
          <w:color w:val="1F1F1F"/>
        </w:rPr>
        <w:t xml:space="preserve"> La rivalidad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irano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-israelí y la competencia sunita-chiita definen la seguridad. Irán actúa como una potencia asimétrica mediante proxys, mientras que Israel mantiene la superioridad tecnológica y nuclear (no declarada).</w:t>
      </w:r>
      <w:r w:rsidR="004F563C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60F221-DB74-4852-8346-B02A443598B7}"/>
  </w:font>
  <w:font w:name="Google Sans">
    <w:altName w:val="Calibri"/>
    <w:charset w:val="00"/>
    <w:family w:val="auto"/>
    <w:pitch w:val="default"/>
    <w:embedBold r:id="rId2" w:fontKey="{750C8290-6052-4F72-8D6A-ACBCA851B1BD}"/>
  </w:font>
  <w:font w:name="Google Sans Text">
    <w:charset w:val="00"/>
    <w:family w:val="auto"/>
    <w:pitch w:val="default"/>
    <w:embedRegular r:id="rId3" w:fontKey="{BA1F55AF-6DFB-4C3E-BCC2-F3A16EB523F5}"/>
    <w:embedBold r:id="rId4" w:fontKey="{9AA76701-2551-473C-93B9-FA5793CED4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30B0B19-048E-4903-89B4-A1BAF4FF65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D9B5C0-A1A8-4D1D-887C-42C776DE49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4913C2"/>
    <w:rsid w:val="004F563C"/>
    <w:rsid w:val="00656854"/>
    <w:rsid w:val="006A2076"/>
    <w:rsid w:val="006D3F6C"/>
    <w:rsid w:val="007A25FA"/>
    <w:rsid w:val="007D5794"/>
    <w:rsid w:val="008D5C33"/>
    <w:rsid w:val="00B313E6"/>
    <w:rsid w:val="00BD186B"/>
    <w:rsid w:val="00F06450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2025-12-22T21:06:00Z</dcterms:created>
  <dcterms:modified xsi:type="dcterms:W3CDTF">2025-12-22T21:19:00Z</dcterms:modified>
</cp:coreProperties>
</file>