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3CF5F" w14:textId="77777777" w:rsidR="001A5000" w:rsidRDefault="00BD186B">
      <w:pPr>
        <w:pStyle w:val="Ttulo2"/>
        <w:spacing w:before="0" w:after="120" w:line="275" w:lineRule="auto"/>
        <w:rPr>
          <w:rFonts w:ascii="Google Sans" w:eastAsia="Google Sans" w:hAnsi="Google Sans" w:cs="Google Sans"/>
          <w:color w:val="1F1F1F"/>
        </w:rPr>
      </w:pPr>
      <w:r>
        <w:rPr>
          <w:rFonts w:ascii="Google Sans" w:eastAsia="Google Sans" w:hAnsi="Google Sans" w:cs="Google Sans"/>
          <w:color w:val="1F1F1F"/>
        </w:rPr>
        <w:t>1. Introducción: La Deconstrucción Cartográfica del Poder</w:t>
      </w:r>
    </w:p>
    <w:p w14:paraId="6D4734D1" w14:textId="77777777" w:rsidR="001A5000" w:rsidRDefault="00BD186B">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La representación del mundo mediante la proyección Universal Transversa de Mercator (UTM) ofrece una herramienta analítica singular para diseccionar la anatomía del poder global en el año 2025. A diferencia de las proyecciones políticas tradicionales que privilegian la continuidad de los estados-nación sobre lienzos distorsionados, el sistema UTM segmenta el esferoide terrestre en una cuadrícula matemáticamente rigurosa de 60 zonas verticales, cada una abarcando 6 grados de longitud.</w:t>
      </w:r>
      <w:r>
        <w:rPr>
          <w:rFonts w:ascii="Google Sans Text" w:eastAsia="Google Sans Text" w:hAnsi="Google Sans Text" w:cs="Google Sans Text"/>
          <w:color w:val="444746"/>
          <w:sz w:val="24"/>
          <w:szCs w:val="24"/>
          <w:vertAlign w:val="superscript"/>
        </w:rPr>
        <w:t>1</w:t>
      </w:r>
      <w:r>
        <w:rPr>
          <w:rFonts w:ascii="Google Sans Text" w:eastAsia="Google Sans Text" w:hAnsi="Google Sans Text" w:cs="Google Sans Text"/>
          <w:color w:val="1F1F1F"/>
        </w:rPr>
        <w:t xml:space="preserve"> Esta "piel de naranja" aplanada permite a los analistas de inteligencia y estrategia evaluar la densidad de variables críticas —población, riqueza, capacidad coercitiva y extensión territorial— dentro de corredores verticales específicos, revelando asimetrías que los mapas convencionales ocultan.</w:t>
      </w:r>
    </w:p>
    <w:p w14:paraId="5FC236CD" w14:textId="77777777" w:rsidR="001A5000" w:rsidRDefault="00BD186B">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Este informe presenta un "mapa simbólico" exhaustivo que reorganiza la geografía política del planeta en diez bloques geopolíticos coherentes. Si bien el mandato original sugería siete áreas, la complejidad demográfica y estratégica de 2025 exige una ampliación lógica para capturar la totalidad de la dinámica global. Por ello, hemos segregado el </w:t>
      </w:r>
      <w:r>
        <w:rPr>
          <w:rFonts w:ascii="Google Sans Text" w:eastAsia="Google Sans Text" w:hAnsi="Google Sans Text" w:cs="Google Sans Text"/>
          <w:b/>
          <w:bCs/>
          <w:color w:val="1F1F1F"/>
        </w:rPr>
        <w:t>Medio Oriente (El Pivote Energético)</w:t>
      </w:r>
      <w:r>
        <w:rPr>
          <w:rFonts w:ascii="Google Sans Text" w:eastAsia="Google Sans Text" w:hAnsi="Google Sans Text" w:cs="Google Sans Text"/>
          <w:color w:val="1F1F1F"/>
        </w:rPr>
        <w:t xml:space="preserve">, la </w:t>
      </w:r>
      <w:r>
        <w:rPr>
          <w:rFonts w:ascii="Google Sans Text" w:eastAsia="Google Sans Text" w:hAnsi="Google Sans Text" w:cs="Google Sans Text"/>
          <w:b/>
          <w:bCs/>
          <w:color w:val="1F1F1F"/>
        </w:rPr>
        <w:t>ASEAN (La Encrucijada Marítima)</w:t>
      </w:r>
      <w:r>
        <w:rPr>
          <w:rFonts w:ascii="Google Sans Text" w:eastAsia="Google Sans Text" w:hAnsi="Google Sans Text" w:cs="Google Sans Text"/>
          <w:color w:val="1F1F1F"/>
        </w:rPr>
        <w:t xml:space="preserve"> y el </w:t>
      </w:r>
      <w:r>
        <w:rPr>
          <w:rFonts w:ascii="Google Sans Text" w:eastAsia="Google Sans Text" w:hAnsi="Google Sans Text" w:cs="Google Sans Text"/>
          <w:b/>
          <w:bCs/>
          <w:color w:val="1F1F1F"/>
        </w:rPr>
        <w:t>Arco del Pacífico Avanzado (La Barrera Tecnológica)</w:t>
      </w:r>
      <w:r>
        <w:rPr>
          <w:rFonts w:ascii="Google Sans Text" w:eastAsia="Google Sans Text" w:hAnsi="Google Sans Text" w:cs="Google Sans Text"/>
          <w:color w:val="1F1F1F"/>
        </w:rPr>
        <w:t xml:space="preserve"> como entidades autónomas. Estas adiciones son necesarias para cubrir la población global con precisión y reflejar las fracturas tectónicas del orden internacional actual.</w:t>
      </w:r>
    </w:p>
    <w:p w14:paraId="1696DD76" w14:textId="7E13C745" w:rsidR="001A5000" w:rsidRDefault="00BD186B" w:rsidP="00750D20">
      <w:pPr>
        <w:pBdr>
          <w:top w:val="nil"/>
          <w:left w:val="nil"/>
          <w:bottom w:val="nil"/>
          <w:right w:val="nil"/>
          <w:between w:val="nil"/>
        </w:pBdr>
        <w:spacing w:after="240" w:line="275" w:lineRule="auto"/>
      </w:pPr>
      <w:r>
        <w:rPr>
          <w:rFonts w:ascii="Google Sans Text" w:eastAsia="Google Sans Text" w:hAnsi="Google Sans Text" w:cs="Google Sans Text"/>
          <w:color w:val="1F1F1F"/>
        </w:rPr>
        <w:t>El análisis que sigue es una inmersión profunda en la realidad material y estratégica de cada bloque. No nos limitamos a enumerar estadísticas; examinamos cómo la geografía (Superficie), la masa humana (Población), la productividad (Recursos Económicos) y la capacidad de imposición (Fuerza Militar) interactúan para definir la jerarquía mundial. Al utilizar la retícula UTM como marco de referencia, podemos localizar con precisión los centros de gravedad —como la Zona 18 en la costa este de Norteamérica o la Zona 51 en el Estrecho de Taiwán— donde se decide el futuro del sistema internacional.</w:t>
      </w:r>
      <w:r w:rsidR="00750D20">
        <w:t xml:space="preserve"> </w:t>
      </w:r>
    </w:p>
    <w:sectPr w:rsidR="001A5000">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2D40710-28D7-4A7B-ABBA-88B03100F02C}"/>
  </w:font>
  <w:font w:name="Google Sans">
    <w:altName w:val="Calibri"/>
    <w:charset w:val="00"/>
    <w:family w:val="auto"/>
    <w:pitch w:val="default"/>
    <w:embedBold r:id="rId2" w:fontKey="{77EC0CA2-9E1A-49B6-BB12-87A749CDAB53}"/>
  </w:font>
  <w:font w:name="Google Sans Text">
    <w:charset w:val="00"/>
    <w:family w:val="auto"/>
    <w:pitch w:val="default"/>
    <w:embedRegular r:id="rId3" w:fontKey="{EE66D21A-F208-4977-94E9-869DF17480D2}"/>
    <w:embedBold r:id="rId4" w:fontKey="{86DA6D0D-9F19-4175-BD69-D2D55D489982}"/>
  </w:font>
  <w:font w:name="Calibri">
    <w:panose1 w:val="020F0502020204030204"/>
    <w:charset w:val="00"/>
    <w:family w:val="swiss"/>
    <w:pitch w:val="variable"/>
    <w:sig w:usb0="E4002EFF" w:usb1="C200247B" w:usb2="00000009" w:usb3="00000000" w:csb0="000001FF" w:csb1="00000000"/>
    <w:embedRegular r:id="rId5" w:fontKey="{B7CB0351-94CD-4539-8DAA-0B4F410D944D}"/>
  </w:font>
  <w:font w:name="Cambria">
    <w:panose1 w:val="02040503050406030204"/>
    <w:charset w:val="00"/>
    <w:family w:val="roman"/>
    <w:pitch w:val="variable"/>
    <w:sig w:usb0="E00006FF" w:usb1="420024FF" w:usb2="02000000" w:usb3="00000000" w:csb0="0000019F" w:csb1="00000000"/>
    <w:embedRegular r:id="rId6" w:fontKey="{9A8186BB-44BF-4021-998B-C505AC9F09B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60378"/>
    <w:multiLevelType w:val="multilevel"/>
    <w:tmpl w:val="7AEE8DF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FD8797A"/>
    <w:multiLevelType w:val="multilevel"/>
    <w:tmpl w:val="0302A43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0524129"/>
    <w:multiLevelType w:val="multilevel"/>
    <w:tmpl w:val="1270B56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2336AAF"/>
    <w:multiLevelType w:val="multilevel"/>
    <w:tmpl w:val="2996B016"/>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136004EF"/>
    <w:multiLevelType w:val="multilevel"/>
    <w:tmpl w:val="0AF6F7D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15C13407"/>
    <w:multiLevelType w:val="multilevel"/>
    <w:tmpl w:val="773CD6C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16295275"/>
    <w:multiLevelType w:val="multilevel"/>
    <w:tmpl w:val="329AA93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183E38EB"/>
    <w:multiLevelType w:val="multilevel"/>
    <w:tmpl w:val="A7365BE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19B01EAF"/>
    <w:multiLevelType w:val="multilevel"/>
    <w:tmpl w:val="B464095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1A695828"/>
    <w:multiLevelType w:val="multilevel"/>
    <w:tmpl w:val="877AECB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1CD268AB"/>
    <w:multiLevelType w:val="multilevel"/>
    <w:tmpl w:val="4D145DA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1D1C7183"/>
    <w:multiLevelType w:val="multilevel"/>
    <w:tmpl w:val="E1A8A9F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285B6672"/>
    <w:multiLevelType w:val="multilevel"/>
    <w:tmpl w:val="0360DA1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285D421E"/>
    <w:multiLevelType w:val="multilevel"/>
    <w:tmpl w:val="806A05E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33FD3B2E"/>
    <w:multiLevelType w:val="multilevel"/>
    <w:tmpl w:val="2674843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3D62299F"/>
    <w:multiLevelType w:val="multilevel"/>
    <w:tmpl w:val="CCCAE81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497A1225"/>
    <w:multiLevelType w:val="multilevel"/>
    <w:tmpl w:val="993E700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4F42522A"/>
    <w:multiLevelType w:val="multilevel"/>
    <w:tmpl w:val="9930758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56FD5D83"/>
    <w:multiLevelType w:val="multilevel"/>
    <w:tmpl w:val="61E4F9E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5A4B280B"/>
    <w:multiLevelType w:val="multilevel"/>
    <w:tmpl w:val="DB18ABC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15:restartNumberingAfterBreak="0">
    <w:nsid w:val="712312CB"/>
    <w:multiLevelType w:val="multilevel"/>
    <w:tmpl w:val="725E013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782B5AAF"/>
    <w:multiLevelType w:val="multilevel"/>
    <w:tmpl w:val="84C0434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432894336">
    <w:abstractNumId w:val="1"/>
  </w:num>
  <w:num w:numId="2" w16cid:durableId="1775704069">
    <w:abstractNumId w:val="6"/>
  </w:num>
  <w:num w:numId="3" w16cid:durableId="1129517823">
    <w:abstractNumId w:val="21"/>
  </w:num>
  <w:num w:numId="4" w16cid:durableId="1576431503">
    <w:abstractNumId w:val="17"/>
  </w:num>
  <w:num w:numId="5" w16cid:durableId="1791124155">
    <w:abstractNumId w:val="14"/>
  </w:num>
  <w:num w:numId="6" w16cid:durableId="1666394585">
    <w:abstractNumId w:val="19"/>
  </w:num>
  <w:num w:numId="7" w16cid:durableId="857424288">
    <w:abstractNumId w:val="18"/>
  </w:num>
  <w:num w:numId="8" w16cid:durableId="169949142">
    <w:abstractNumId w:val="3"/>
  </w:num>
  <w:num w:numId="9" w16cid:durableId="894587637">
    <w:abstractNumId w:val="16"/>
  </w:num>
  <w:num w:numId="10" w16cid:durableId="1330600448">
    <w:abstractNumId w:val="0"/>
  </w:num>
  <w:num w:numId="11" w16cid:durableId="780413076">
    <w:abstractNumId w:val="11"/>
  </w:num>
  <w:num w:numId="12" w16cid:durableId="397096945">
    <w:abstractNumId w:val="13"/>
  </w:num>
  <w:num w:numId="13" w16cid:durableId="177234873">
    <w:abstractNumId w:val="8"/>
  </w:num>
  <w:num w:numId="14" w16cid:durableId="815032091">
    <w:abstractNumId w:val="4"/>
  </w:num>
  <w:num w:numId="15" w16cid:durableId="1449351370">
    <w:abstractNumId w:val="12"/>
  </w:num>
  <w:num w:numId="16" w16cid:durableId="1273636556">
    <w:abstractNumId w:val="7"/>
  </w:num>
  <w:num w:numId="17" w16cid:durableId="1235356297">
    <w:abstractNumId w:val="9"/>
  </w:num>
  <w:num w:numId="18" w16cid:durableId="1675912958">
    <w:abstractNumId w:val="2"/>
  </w:num>
  <w:num w:numId="19" w16cid:durableId="138233864">
    <w:abstractNumId w:val="10"/>
  </w:num>
  <w:num w:numId="20" w16cid:durableId="740831106">
    <w:abstractNumId w:val="20"/>
  </w:num>
  <w:num w:numId="21" w16cid:durableId="1360620721">
    <w:abstractNumId w:val="15"/>
  </w:num>
  <w:num w:numId="22" w16cid:durableId="2913987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5000"/>
    <w:rsid w:val="001A5000"/>
    <w:rsid w:val="00750D20"/>
    <w:rsid w:val="00B313E6"/>
    <w:rsid w:val="00BD186B"/>
    <w:rsid w:val="00FE280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55453"/>
  <w15:docId w15:val="{8C4D0C23-FBB6-4EBF-B79E-5580B9CB9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Ttulo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Ttulo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Ttulo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322</Words>
  <Characters>1773</Characters>
  <Application>Microsoft Office Word</Application>
  <DocSecurity>0</DocSecurity>
  <Lines>14</Lines>
  <Paragraphs>4</Paragraphs>
  <ScaleCrop>false</ScaleCrop>
  <Company/>
  <LinksUpToDate>false</LinksUpToDate>
  <CharactersWithSpaces>2091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Luis Guinea</cp:lastModifiedBy>
  <cp:revision>3</cp:revision>
  <dcterms:created xsi:type="dcterms:W3CDTF">2025-12-22T12:56:00Z</dcterms:created>
  <dcterms:modified xsi:type="dcterms:W3CDTF">2025-12-22T21:44:00Z</dcterms:modified>
</cp:coreProperties>
</file>