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Calibri" w:hAnsi="Calibri"/>
          <w:b/>
          <w:color w:val="A56A18"/>
          <w:sz w:val="18"/>
        </w:rPr>
        <w:t>INFORME DE DECISIÓN</w:t>
      </w:r>
    </w:p>
    <w:p>
      <w:pPr>
        <w:spacing w:before="0" w:after="80"/>
      </w:pPr>
      <w:r>
        <w:rPr>
          <w:rFonts w:ascii="Calibri" w:hAnsi="Calibri"/>
          <w:b/>
          <w:color w:val="1F4D78"/>
          <w:sz w:val="46"/>
        </w:rPr>
        <w:t>Regionalización de la Retícula Global</w:t>
      </w:r>
    </w:p>
    <w:p>
      <w:pPr>
        <w:spacing w:before="0" w:after="200"/>
      </w:pPr>
      <w:r>
        <w:rPr>
          <w:rFonts w:ascii="Calibri" w:hAnsi="Calibri"/>
          <w:color w:val="5D6875"/>
          <w:sz w:val="25"/>
        </w:rPr>
        <w:t>Comparación de cuatro modelos para un mapa simbólico mundial</w:t>
      </w:r>
    </w:p>
    <w:p>
      <w:pPr>
        <w:keepLines/>
        <w:spacing w:before="0" w:after="40" w:line="252" w:lineRule="auto"/>
      </w:pPr>
      <w:r>
        <w:rPr>
          <w:rFonts w:ascii="Calibri" w:hAnsi="Calibri"/>
          <w:b/>
          <w:color w:val="1A2633"/>
          <w:sz w:val="18"/>
        </w:rPr>
        <w:t xml:space="preserve">Objetivo: </w:t>
      </w:r>
      <w:r>
        <w:rPr>
          <w:rFonts w:ascii="Calibri" w:hAnsi="Calibri"/>
          <w:color w:val="1A2633"/>
          <w:sz w:val="18"/>
        </w:rPr>
        <w:t>dividir el mundo en áreas comparables, exhaustivas y legibles sin convertirlas en bloques políticos rígidos.</w:t>
      </w:r>
    </w:p>
    <w:p>
      <w:pPr>
        <w:keepLines/>
        <w:spacing w:before="0" w:after="40" w:line="252" w:lineRule="auto"/>
      </w:pPr>
      <w:r>
        <w:rPr>
          <w:rFonts w:ascii="Calibri" w:hAnsi="Calibri"/>
          <w:b/>
          <w:color w:val="1A2633"/>
          <w:sz w:val="18"/>
        </w:rPr>
        <w:t xml:space="preserve">Fecha de referencia: </w:t>
      </w:r>
      <w:r>
        <w:rPr>
          <w:rFonts w:ascii="Calibri" w:hAnsi="Calibri"/>
          <w:color w:val="1A2633"/>
          <w:sz w:val="18"/>
        </w:rPr>
        <w:t>16 de julio de 2026.</w:t>
      </w:r>
    </w:p>
    <w:p>
      <w:pPr>
        <w:shd w:fill="E8EEF5" w:val="clear"/>
        <w:spacing w:before="160" w:after="160" w:line="252" w:lineRule="auto"/>
        <w:ind w:left="144" w:right="144"/>
      </w:pPr>
      <w:r>
        <w:rPr>
          <w:rFonts w:ascii="Calibri" w:hAnsi="Calibri"/>
          <w:b/>
          <w:color w:val="1F4D78"/>
          <w:sz w:val="20"/>
        </w:rPr>
        <w:t xml:space="preserve">RECOMENDACIÓN  </w:t>
      </w:r>
      <w:r>
        <w:rPr>
          <w:rFonts w:ascii="Calibri" w:hAnsi="Calibri"/>
          <w:color w:val="1A2633"/>
          <w:sz w:val="20"/>
        </w:rPr>
        <w:t>Consolidar el modelo de nueve áreas ya operativo: AFR, APC, CHN, EUR, MDE, NAC, RUE, SAI y SAM. Es el mejor equilibrio entre lectura cartográfica, cobertura mundial y significado geoeconómico. Mantener el modelo de once áreas como vista analítica opcional, no como nuevo maestro territorial.</w:t>
      </w:r>
    </w:p>
    <w:p>
      <w:pPr>
        <w:pStyle w:val="Heading2"/>
      </w:pPr>
      <w:r>
        <w:t>Criterios de evaluación</w:t>
      </w:r>
    </w:p>
    <w:p>
      <w:pPr>
        <w:keepLines/>
        <w:spacing w:before="0" w:after="30" w:line="252" w:lineRule="auto"/>
      </w:pPr>
      <w:r>
        <w:rPr>
          <w:rFonts w:ascii="Calibri" w:hAnsi="Calibri"/>
          <w:b/>
          <w:color w:val="1F4D78"/>
          <w:sz w:val="18"/>
        </w:rPr>
        <w:t xml:space="preserve">Geografía. </w:t>
      </w:r>
      <w:r>
        <w:rPr>
          <w:rFonts w:ascii="Calibri" w:hAnsi="Calibri"/>
          <w:color w:val="1A2633"/>
          <w:sz w:val="18"/>
        </w:rPr>
        <w:t>continuidad espacial y fronteras reconocibles.</w:t>
      </w:r>
    </w:p>
    <w:p>
      <w:pPr>
        <w:keepLines/>
        <w:spacing w:before="0" w:after="30" w:line="252" w:lineRule="auto"/>
      </w:pPr>
      <w:r>
        <w:rPr>
          <w:rFonts w:ascii="Calibri" w:hAnsi="Calibri"/>
          <w:b/>
          <w:color w:val="1F4D78"/>
          <w:sz w:val="18"/>
        </w:rPr>
        <w:t xml:space="preserve">Demografía. </w:t>
      </w:r>
      <w:r>
        <w:rPr>
          <w:rFonts w:ascii="Calibri" w:hAnsi="Calibri"/>
          <w:color w:val="1A2633"/>
          <w:sz w:val="18"/>
        </w:rPr>
        <w:t>capacidad para representar concentración, crecimiento y estructura de población con WPP 2024 [2].</w:t>
      </w:r>
    </w:p>
    <w:p>
      <w:pPr>
        <w:keepLines/>
        <w:spacing w:before="0" w:after="30" w:line="252" w:lineRule="auto"/>
      </w:pPr>
      <w:r>
        <w:rPr>
          <w:rFonts w:ascii="Calibri" w:hAnsi="Calibri"/>
          <w:b/>
          <w:color w:val="1F4D78"/>
          <w:sz w:val="18"/>
        </w:rPr>
        <w:t xml:space="preserve">Economía. </w:t>
      </w:r>
      <w:r>
        <w:rPr>
          <w:rFonts w:ascii="Calibri" w:hAnsi="Calibri"/>
          <w:color w:val="1A2633"/>
          <w:sz w:val="18"/>
        </w:rPr>
        <w:t>PIB, integración comercial y cadenas de suministro; WDI e IMF sirven como bases, no como clasificaciones políticas [3–4].</w:t>
      </w:r>
    </w:p>
    <w:p>
      <w:pPr>
        <w:keepLines/>
        <w:spacing w:before="0" w:after="30" w:line="252" w:lineRule="auto"/>
      </w:pPr>
      <w:r>
        <w:rPr>
          <w:rFonts w:ascii="Calibri" w:hAnsi="Calibri"/>
          <w:b/>
          <w:color w:val="1F4D78"/>
          <w:sz w:val="18"/>
        </w:rPr>
        <w:t xml:space="preserve">Estrategia. </w:t>
      </w:r>
      <w:r>
        <w:rPr>
          <w:rFonts w:ascii="Calibri" w:hAnsi="Calibri"/>
          <w:color w:val="1A2633"/>
          <w:sz w:val="18"/>
        </w:rPr>
        <w:t>potencias militares, energía, alianzas, rutas y focos de conflicto; el gasto militar mundial alcanzó 2,887 billones de dólares en 2025 [5].</w:t>
      </w:r>
    </w:p>
    <w:p>
      <w:pPr>
        <w:keepLines/>
        <w:spacing w:before="0" w:after="30" w:line="252" w:lineRule="auto"/>
      </w:pPr>
      <w:r>
        <w:rPr>
          <w:rFonts w:ascii="Calibri" w:hAnsi="Calibri"/>
          <w:b/>
          <w:color w:val="1F4D78"/>
          <w:sz w:val="18"/>
        </w:rPr>
        <w:t xml:space="preserve">Operación. </w:t>
      </w:r>
      <w:r>
        <w:rPr>
          <w:rFonts w:ascii="Calibri" w:hAnsi="Calibri"/>
          <w:color w:val="1A2633"/>
          <w:sz w:val="18"/>
        </w:rPr>
        <w:t>una entidad–un área, trazabilidad de excepciones y suficiente contraste visual.</w:t>
      </w:r>
    </w:p>
    <w:p>
      <w:pPr>
        <w:pStyle w:val="Heading2"/>
      </w:pPr>
      <w:r>
        <w:t>Alternativas comparadas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200"/>
        <w:gridCol w:w="2600"/>
        <w:gridCol w:w="2860"/>
      </w:tblGrid>
      <w:tr>
        <w:trPr>
          <w:tblHeader w:val="true"/>
          <w:cantSplit/>
        </w:trPr>
        <w:tc>
          <w:tcPr>
            <w:tcW w:type="dxa" w:w="1700"/>
            <w:shd w:fill="1F4D78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Propuesta</w:t>
            </w:r>
          </w:p>
        </w:tc>
        <w:tc>
          <w:tcPr>
            <w:tcW w:type="dxa" w:w="2200"/>
            <w:shd w:fill="1F4D78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Configuración</w:t>
            </w:r>
          </w:p>
        </w:tc>
        <w:tc>
          <w:tcPr>
            <w:tcW w:type="dxa" w:w="2600"/>
            <w:shd w:fill="1F4D78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Ventajas</w:t>
            </w:r>
          </w:p>
        </w:tc>
        <w:tc>
          <w:tcPr>
            <w:tcW w:type="dxa" w:w="2860"/>
            <w:shd w:fill="1F4D78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Inconvenientes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5"/>
              </w:rPr>
              <w:t>5 macroregiones M49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África · Américas · Asia · Europa · Oceanía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Máxima estabilidad; reproducible; compatible con ONU.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Oculta China, India, EE. UU. y Rusia; Asia y Américas son demasiado heterogéneas.</w:t>
            </w:r>
          </w:p>
        </w:tc>
      </w:tr>
      <w:tr>
        <w:trPr>
          <w:cantSplit/>
        </w:trPr>
        <w:tc>
          <w:tcPr>
            <w:tcW w:type="dxa" w:w="170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5"/>
              </w:rPr>
              <w:t>7 polos iniciales</w:t>
            </w:r>
          </w:p>
        </w:tc>
        <w:tc>
          <w:tcPr>
            <w:tcW w:type="dxa" w:w="220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Europa · Norteamérica · Rusia-Eurasia · China · India · África · Sudamérica</w:t>
            </w:r>
          </w:p>
        </w:tc>
        <w:tc>
          <w:tcPr>
            <w:tcW w:type="dxa" w:w="260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Muy legible; conserva los grandes centros de población y poder.</w:t>
            </w:r>
          </w:p>
        </w:tc>
        <w:tc>
          <w:tcPr>
            <w:tcW w:type="dxa" w:w="286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Deja Oriente Medio, Sudeste Asiático y Oceanía sin encaje natural; fuerza varias adhesiones.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5"/>
              </w:rPr>
              <w:t>9 áreas equilibradas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Modelo vigente AFR/APC/CHN/EUR/MDE/NAC/RUE/SAI/SAM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Cobertura completa; aísla China, India, Rusia y Oriente Medio; nueve colores siguen siendo manejables.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Asia-Pacífico es amplio; RUE y algunas fronteras requieren notas explícitas.</w:t>
            </w:r>
          </w:p>
        </w:tc>
      </w:tr>
      <w:tr>
        <w:trPr>
          <w:cantSplit/>
        </w:trPr>
        <w:tc>
          <w:tcPr>
            <w:tcW w:type="dxa" w:w="170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5"/>
              </w:rPr>
              <w:t>11 áreas estratégicas</w:t>
            </w:r>
          </w:p>
        </w:tc>
        <w:tc>
          <w:tcPr>
            <w:tcW w:type="dxa" w:w="220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Modelo de 9, dividiendo APC en Nordeste Asiático, Sudeste Asiático y Oceanía</w:t>
            </w:r>
          </w:p>
        </w:tc>
        <w:tc>
          <w:tcPr>
            <w:tcW w:type="dxa" w:w="260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Mejor lectura industrial, marítima y de seguridad; ASEAN gana identidad propia.</w:t>
            </w:r>
          </w:p>
        </w:tc>
        <w:tc>
          <w:tcPr>
            <w:tcW w:type="dxa" w:w="286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Aumenta complejidad y desigualdad de tamaños; pierde sencillez simbólica.</w:t>
            </w:r>
          </w:p>
        </w:tc>
      </w:tr>
    </w:tbl>
    <w:p>
      <w:r>
        <w:br w:type="page"/>
      </w:r>
    </w:p>
    <w:p>
      <w:pPr>
        <w:pStyle w:val="Heading1"/>
      </w:pPr>
      <w:r>
        <w:t>Modelo recomendado: nueve áreas</w:t>
      </w:r>
    </w:p>
    <w:p>
      <w:pPr>
        <w:spacing w:after="100"/>
      </w:pPr>
      <w:r>
        <w:rPr>
          <w:rFonts w:ascii="Calibri" w:hAnsi="Calibri"/>
          <w:color w:val="5D6875"/>
          <w:sz w:val="19"/>
        </w:rPr>
        <w:t>La base geográfica debe seguir M49, pero las excepciones deben justificarse por la función analítica del mapa. La asignación es estadística y no implica posición sobre soberanía o afiliación política [1].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/>
        </w:trPr>
        <w:tc>
          <w:tcPr>
            <w:tcW w:type="dxa" w:w="1200"/>
            <w:shd w:fill="1F4D78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2600"/>
            <w:shd w:fill="1F4D78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Composición operativa</w:t>
            </w:r>
          </w:p>
        </w:tc>
        <w:tc>
          <w:tcPr>
            <w:tcW w:type="dxa" w:w="5560"/>
            <w:shd w:fill="1F4D78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Justificación y límite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5"/>
              </w:rPr>
              <w:t>AFR</w:t>
              <w:br/>
              <w:t>África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Toda África M49, incluido Egipto.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Unidad continental clara; gran peso en crecimiento demográfico, recursos y vulnerabilidad climática. Inconveniente: el norte africano también pertenece al espacio MENA; conviene tratarlo como capa temática, no mover países.</w:t>
            </w:r>
          </w:p>
        </w:tc>
      </w:tr>
      <w:tr>
        <w:trPr>
          <w:cantSplit/>
        </w:trPr>
        <w:tc>
          <w:tcPr>
            <w:tcW w:type="dxa" w:w="120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5"/>
              </w:rPr>
              <w:t>APC</w:t>
              <w:br/>
              <w:t>Asia-Pacífico</w:t>
            </w:r>
          </w:p>
        </w:tc>
        <w:tc>
          <w:tcPr>
            <w:tcW w:type="dxa" w:w="260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Asia oriental sin China; Sudeste Asiático; Oceanía.</w:t>
            </w:r>
          </w:p>
        </w:tc>
        <w:tc>
          <w:tcPr>
            <w:tcW w:type="dxa" w:w="556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Arco marítimo e industrial conectado por comercio y rutas del Pacífico. Permite incluir Japón, las Coreas, ASEAN y Oceanía. Es el bloque más heterogéneo; si el análisis gana detalle, debe dividirse en tres.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5"/>
              </w:rPr>
              <w:t>CHN</w:t>
              <w:br/>
              <w:t>China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China continental, Hong Kong y Macao, con registros separados.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Polo demográfico, manufacturero, tecnológico y militar con escala propia. Hong Kong y Macao deben conservar dato independiente cuando la fuente lo publique; Taiwán queda en APC con nota neutral.</w:t>
            </w:r>
          </w:p>
        </w:tc>
      </w:tr>
      <w:tr>
        <w:trPr>
          <w:cantSplit/>
        </w:trPr>
        <w:tc>
          <w:tcPr>
            <w:tcW w:type="dxa" w:w="120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5"/>
              </w:rPr>
              <w:t>EUR</w:t>
              <w:br/>
              <w:t>Europa</w:t>
            </w:r>
          </w:p>
        </w:tc>
        <w:tc>
          <w:tcPr>
            <w:tcW w:type="dxa" w:w="260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Europa M49, excepto Rusia y Bielorrusia; incluye Chipre.</w:t>
            </w:r>
          </w:p>
        </w:tc>
        <w:tc>
          <w:tcPr>
            <w:tcW w:type="dxa" w:w="556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Alta densidad institucional, económica y de seguridad, con UE y OTAN como referencias centrales. No equivale a la UE: incluye países no miembros y diversidad política considerable.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5"/>
              </w:rPr>
              <w:t>MDE</w:t>
              <w:br/>
              <w:t>Oriente Medio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Asia occidental más Irán y Turquía; sin Cáucaso ni Chipre.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Coherencia energética, religiosa, estratégica y de seguridad; concentra rutas y conflictos de alcance mundial. No existe una frontera estadística universal: la excepción debe documentarse país por país.</w:t>
            </w:r>
          </w:p>
        </w:tc>
      </w:tr>
      <w:tr>
        <w:trPr>
          <w:cantSplit/>
        </w:trPr>
        <w:tc>
          <w:tcPr>
            <w:tcW w:type="dxa" w:w="120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5"/>
              </w:rPr>
              <w:t>NAC</w:t>
              <w:br/>
              <w:t>Norteamérica y Caribe</w:t>
            </w:r>
          </w:p>
        </w:tc>
        <w:tc>
          <w:tcPr>
            <w:tcW w:type="dxa" w:w="260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América septentrional, Centroamérica y Caribe; incluye México.</w:t>
            </w:r>
          </w:p>
        </w:tc>
        <w:tc>
          <w:tcPr>
            <w:tcW w:type="dxa" w:w="556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Espacio articulado por EE. UU., migraciones, finanzas y cadenas productivas. USMCA respalda claramente la inclusión de México: sostiene casi 2 billones de dólares de comercio estadounidense regional [6].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5"/>
              </w:rPr>
              <w:t>RUE</w:t>
              <w:br/>
              <w:t>Rusia-Eurasia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Rusia, Bielorrusia, Asia central y Cáucaso sur.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Continuidad territorial, energía, infraestructura, legado soviético y peso estratégico ruso; la EAEU aporta un núcleo institucional de cinco países [8]. Debe renombrarse para no sugerir que incluye todo el espacio postsoviético.</w:t>
            </w:r>
          </w:p>
        </w:tc>
      </w:tr>
      <w:tr>
        <w:trPr>
          <w:cantSplit/>
        </w:trPr>
        <w:tc>
          <w:tcPr>
            <w:tcW w:type="dxa" w:w="120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5"/>
              </w:rPr>
              <w:t>SAI</w:t>
              <w:br/>
              <w:t>Subcontinente indio</w:t>
            </w:r>
          </w:p>
        </w:tc>
        <w:tc>
          <w:tcPr>
            <w:tcW w:type="dxa" w:w="260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Asia meridional salvo Irán: India, Pakistán, Bangladesh, Afganistán, Nepal, Bután, Sri Lanka y Maldivas.</w:t>
            </w:r>
          </w:p>
        </w:tc>
        <w:tc>
          <w:tcPr>
            <w:tcW w:type="dxa" w:w="556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Concentración demográfica excepcional, centralidad india y dimensión nuclear India–Pakistán. La gran diversidad interna obliga a publicar coberturas y evitar promedios engañosos.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5"/>
              </w:rPr>
              <w:t>SAM</w:t>
              <w:br/>
              <w:t>Sudamérica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Toda Sudamérica M49.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A2633"/>
                <w:sz w:val="15"/>
              </w:rPr>
              <w:t>Frontera geográfica nítida; Brasil funciona como gran polo y existen patrones comunes de recursos, urbanización e integración. Persisten fuertes asimetrías económicas y distintas orientaciones exteriores.</w:t>
            </w:r>
          </w:p>
        </w:tc>
      </w:tr>
    </w:tbl>
    <w:p>
      <w:pPr>
        <w:spacing w:before="80" w:after="0"/>
      </w:pPr>
      <w:r>
        <w:rPr>
          <w:rFonts w:ascii="Calibri" w:hAnsi="Calibri"/>
          <w:b/>
          <w:color w:val="1F4D78"/>
          <w:sz w:val="18"/>
        </w:rPr>
        <w:t xml:space="preserve">Lectura de conjunto. </w:t>
      </w:r>
      <w:r>
        <w:rPr>
          <w:rFonts w:ascii="Calibri" w:hAnsi="Calibri"/>
          <w:color w:val="5D6875"/>
          <w:sz w:val="18"/>
        </w:rPr>
        <w:t>El modelo cubre todo el mundo sin crear un bloque residual y mantiene visibles los cuatro polos que más distorsionarían un agregado continental: Estados Unidos/Norteamérica, China, India y Rusia.</w:t>
      </w:r>
    </w:p>
    <w:p>
      <w:r>
        <w:br w:type="page"/>
      </w:r>
    </w:p>
    <w:p>
      <w:pPr>
        <w:pStyle w:val="Heading1"/>
      </w:pPr>
      <w:r>
        <w:t>Decisiones de frontera y reglas metodológicas</w:t>
      </w:r>
    </w:p>
    <w:p>
      <w:pPr>
        <w:pStyle w:val="Heading2"/>
      </w:pPr>
      <w:r>
        <w:t>Fronteras que deben quedar escritas en el diccionario</w:t>
      </w:r>
    </w:p>
    <w:p>
      <w:pPr>
        <w:keepLines/>
        <w:spacing w:before="0" w:after="40" w:line="252" w:lineRule="auto"/>
      </w:pPr>
      <w:r>
        <w:rPr>
          <w:rFonts w:ascii="Calibri" w:hAnsi="Calibri"/>
          <w:b/>
          <w:color w:val="1F4D78"/>
          <w:sz w:val="18"/>
        </w:rPr>
        <w:t xml:space="preserve">México → NAC. </w:t>
      </w:r>
      <w:r>
        <w:rPr>
          <w:rFonts w:ascii="Calibri" w:hAnsi="Calibri"/>
          <w:color w:val="1A2633"/>
          <w:sz w:val="18"/>
        </w:rPr>
        <w:t>La geografía física admite ambas lecturas, pero USMCA y las cadenas productivas inclinan la decisión hacia Norteamérica. Para análisis cultural puede usarse una vista alternativa Latinoamérica–Caribe.</w:t>
      </w:r>
    </w:p>
    <w:p>
      <w:pPr>
        <w:keepLines/>
        <w:spacing w:before="0" w:after="40" w:line="252" w:lineRule="auto"/>
      </w:pPr>
      <w:r>
        <w:rPr>
          <w:rFonts w:ascii="Calibri" w:hAnsi="Calibri"/>
          <w:b/>
          <w:color w:val="1F4D78"/>
          <w:sz w:val="18"/>
        </w:rPr>
        <w:t xml:space="preserve">Centroamérica y Caribe → NAC. </w:t>
      </w:r>
      <w:r>
        <w:rPr>
          <w:rFonts w:ascii="Calibri" w:hAnsi="Calibri"/>
          <w:color w:val="1A2633"/>
          <w:sz w:val="18"/>
        </w:rPr>
        <w:t>Evita crear un área pequeña y mantiene una fachada atlántica coherente; debe reconocerse su vínculo latinoamericano.</w:t>
      </w:r>
    </w:p>
    <w:p>
      <w:pPr>
        <w:keepLines/>
        <w:spacing w:before="0" w:after="40" w:line="252" w:lineRule="auto"/>
      </w:pPr>
      <w:r>
        <w:rPr>
          <w:rFonts w:ascii="Calibri" w:hAnsi="Calibri"/>
          <w:b/>
          <w:color w:val="1F4D78"/>
          <w:sz w:val="18"/>
        </w:rPr>
        <w:t xml:space="preserve">RUE: cambiar el nombre largo. </w:t>
      </w:r>
      <w:r>
        <w:rPr>
          <w:rFonts w:ascii="Calibri" w:hAnsi="Calibri"/>
          <w:color w:val="1A2633"/>
          <w:sz w:val="18"/>
        </w:rPr>
        <w:t>Usar «Rusia, Cáucaso y Asia central» o «Rusia-Eurasia»; la composición vigente no incluye Ucrania, Moldova ni los países bálticos, por lo que «postsoviética» resulta demasiado amplio.</w:t>
      </w:r>
    </w:p>
    <w:p>
      <w:pPr>
        <w:keepLines/>
        <w:spacing w:before="0" w:after="40" w:line="252" w:lineRule="auto"/>
      </w:pPr>
      <w:r>
        <w:rPr>
          <w:rFonts w:ascii="Calibri" w:hAnsi="Calibri"/>
          <w:b/>
          <w:color w:val="1F4D78"/>
          <w:sz w:val="18"/>
        </w:rPr>
        <w:t xml:space="preserve">Turquía e Irán → MDE; Chipre → EUR. </w:t>
      </w:r>
      <w:r>
        <w:rPr>
          <w:rFonts w:ascii="Calibri" w:hAnsi="Calibri"/>
          <w:color w:val="1A2633"/>
          <w:sz w:val="18"/>
        </w:rPr>
        <w:t>Prima la función geoestratégica en los dos primeros y la inserción institucional europea en Chipre.</w:t>
      </w:r>
    </w:p>
    <w:p>
      <w:pPr>
        <w:keepLines/>
        <w:spacing w:before="0" w:after="40" w:line="252" w:lineRule="auto"/>
      </w:pPr>
      <w:r>
        <w:rPr>
          <w:rFonts w:ascii="Calibri" w:hAnsi="Calibri"/>
          <w:b/>
          <w:color w:val="1F4D78"/>
          <w:sz w:val="18"/>
        </w:rPr>
        <w:t xml:space="preserve">Egipto → AFR. </w:t>
      </w:r>
      <w:r>
        <w:rPr>
          <w:rFonts w:ascii="Calibri" w:hAnsi="Calibri"/>
          <w:color w:val="1A2633"/>
          <w:sz w:val="18"/>
        </w:rPr>
        <w:t>Preserva la integridad continental. Si un indicador exige MENA, debe calcularse como agrupación temática paralela.</w:t>
      </w:r>
    </w:p>
    <w:p>
      <w:pPr>
        <w:keepLines/>
        <w:spacing w:before="0" w:after="40" w:line="252" w:lineRule="auto"/>
      </w:pPr>
      <w:r>
        <w:rPr>
          <w:rFonts w:ascii="Calibri" w:hAnsi="Calibri"/>
          <w:b/>
          <w:color w:val="1F4D78"/>
          <w:sz w:val="18"/>
        </w:rPr>
        <w:t xml:space="preserve">China/Hong Kong/Macao y Taiwán. </w:t>
      </w:r>
      <w:r>
        <w:rPr>
          <w:rFonts w:ascii="Calibri" w:hAnsi="Calibri"/>
          <w:color w:val="1A2633"/>
          <w:sz w:val="18"/>
        </w:rPr>
        <w:t>Integrar los dos territorios administrativos en CHN sin perder sus filas estadísticas; asignar Taiwán a APC y acompañar la decisión con la cláusula de neutralidad M49 [1].</w:t>
      </w:r>
    </w:p>
    <w:p>
      <w:pPr>
        <w:pStyle w:val="Heading2"/>
      </w:pPr>
      <w:r>
        <w:t>Reglas para agregados comparables</w:t>
      </w:r>
    </w:p>
    <w:p>
      <w:pPr>
        <w:keepLines/>
        <w:spacing w:before="0" w:after="32" w:line="252" w:lineRule="auto"/>
      </w:pPr>
      <w:r>
        <w:rPr>
          <w:rFonts w:ascii="Calibri" w:hAnsi="Calibri"/>
          <w:b/>
          <w:color w:val="1F4D78"/>
          <w:sz w:val="18"/>
        </w:rPr>
        <w:t xml:space="preserve">1. Exhaustividad. </w:t>
      </w:r>
      <w:r>
        <w:rPr>
          <w:rFonts w:ascii="Calibri" w:hAnsi="Calibri"/>
          <w:color w:val="1A2633"/>
          <w:sz w:val="18"/>
        </w:rPr>
        <w:t>Cada país o territorio aparece una sola vez; los dependientes se contabilizan según la fuente y nunca junto a un total soberano que ya los incluya.</w:t>
      </w:r>
    </w:p>
    <w:p>
      <w:pPr>
        <w:keepLines/>
        <w:spacing w:before="0" w:after="32" w:line="252" w:lineRule="auto"/>
      </w:pPr>
      <w:r>
        <w:rPr>
          <w:rFonts w:ascii="Calibri" w:hAnsi="Calibri"/>
          <w:b/>
          <w:color w:val="1F4D78"/>
          <w:sz w:val="18"/>
        </w:rPr>
        <w:t xml:space="preserve">2. Excepciones trazables. </w:t>
      </w:r>
      <w:r>
        <w:rPr>
          <w:rFonts w:ascii="Calibri" w:hAnsi="Calibri"/>
          <w:color w:val="1A2633"/>
          <w:sz w:val="18"/>
        </w:rPr>
        <w:t>Partir de M49 y registrar motivo, fecha y efecto de cada traslado. No presentar las áreas como alianzas políticas.</w:t>
      </w:r>
    </w:p>
    <w:p>
      <w:pPr>
        <w:keepLines/>
        <w:spacing w:before="0" w:after="32" w:line="252" w:lineRule="auto"/>
      </w:pPr>
      <w:r>
        <w:rPr>
          <w:rFonts w:ascii="Calibri" w:hAnsi="Calibri"/>
          <w:b/>
          <w:color w:val="1F4D78"/>
          <w:sz w:val="18"/>
        </w:rPr>
        <w:t xml:space="preserve">3. Agregación correcta. </w:t>
      </w:r>
      <w:r>
        <w:rPr>
          <w:rFonts w:ascii="Calibri" w:hAnsi="Calibri"/>
          <w:color w:val="1A2633"/>
          <w:sz w:val="18"/>
        </w:rPr>
        <w:t>Sumar magnitudes aditivas; recalcular tasas desde numerador y denominador cuando sea posible; etiquetar los índices ponderados como aproximaciones. Un promedio nacional de Gini no es un Gini regional real.</w:t>
      </w:r>
    </w:p>
    <w:p>
      <w:pPr>
        <w:keepLines/>
        <w:spacing w:before="0" w:after="32" w:line="252" w:lineRule="auto"/>
      </w:pPr>
      <w:r>
        <w:rPr>
          <w:rFonts w:ascii="Calibri" w:hAnsi="Calibri"/>
          <w:b/>
          <w:color w:val="1F4D78"/>
          <w:sz w:val="18"/>
        </w:rPr>
        <w:t xml:space="preserve">4. Ausencias visibles. </w:t>
      </w:r>
      <w:r>
        <w:rPr>
          <w:rFonts w:ascii="Calibri" w:hAnsi="Calibri"/>
          <w:color w:val="1A2633"/>
          <w:sz w:val="18"/>
        </w:rPr>
        <w:t>No imputar por defecto. Publicar cobertura de población o PIB y el intervalo de años utilizado.</w:t>
      </w:r>
    </w:p>
    <w:p>
      <w:pPr>
        <w:keepLines/>
        <w:spacing w:before="0" w:after="32" w:line="252" w:lineRule="auto"/>
      </w:pPr>
      <w:r>
        <w:rPr>
          <w:rFonts w:ascii="Calibri" w:hAnsi="Calibri"/>
          <w:b/>
          <w:color w:val="1F4D78"/>
          <w:sz w:val="18"/>
        </w:rPr>
        <w:t xml:space="preserve">5. Estabilidad. </w:t>
      </w:r>
      <w:r>
        <w:rPr>
          <w:rFonts w:ascii="Calibri" w:hAnsi="Calibri"/>
          <w:color w:val="1A2633"/>
          <w:sz w:val="18"/>
        </w:rPr>
        <w:t>Congelar una versión RG-9 v1.0 y revisar asignaciones solo ante cambios territoriales o una decisión metodológica explícita.</w:t>
      </w:r>
    </w:p>
    <w:p>
      <w:pPr>
        <w:shd w:fill="E8EEF5" w:val="clear"/>
        <w:spacing w:before="120" w:after="120" w:line="245" w:lineRule="auto"/>
        <w:ind w:left="144" w:right="144"/>
      </w:pPr>
      <w:r>
        <w:rPr>
          <w:rFonts w:ascii="Calibri" w:hAnsi="Calibri"/>
          <w:b/>
          <w:color w:val="1F4D78"/>
          <w:sz w:val="19"/>
        </w:rPr>
        <w:t xml:space="preserve">CONCLUSIÓN  </w:t>
      </w:r>
      <w:r>
        <w:rPr>
          <w:rFonts w:ascii="Calibri" w:hAnsi="Calibri"/>
          <w:color w:val="1A2633"/>
          <w:sz w:val="19"/>
        </w:rPr>
        <w:t>Adoptar RG-9 como regionalización oficial de la Retícula Global. Conservar RG-5 como referencia estadística y RG-11 como vista analítica. El modelo original de siete polos queda útil para narración o portada, pero no como maestro de datos porque no resuelve sin arbitrariedad Oriente Medio, Sudeste Asiático y Oceanía.</w:t>
      </w:r>
    </w:p>
    <w:p>
      <w:pPr>
        <w:pStyle w:val="Heading2"/>
        <w:spacing w:before="160" w:after="60"/>
      </w:pPr>
      <w:r>
        <w:t>Fuentes recomendadas</w:t>
      </w:r>
    </w:p>
    <w:p>
      <w:pPr>
        <w:pStyle w:val="SourceEntry"/>
        <w:keepLines/>
      </w:pPr>
      <w:r>
        <w:rPr>
          <w:rFonts w:ascii="Calibri" w:hAnsi="Calibri"/>
          <w:b/>
          <w:color w:val="1A2633"/>
          <w:sz w:val="16"/>
        </w:rPr>
        <w:t xml:space="preserve">[1] Naciones Unidas, División de Estadística. </w:t>
      </w:r>
      <w:hyperlink r:id="rId11">
        <w:r>
          <w:rPr>
            <w:rFonts w:ascii="Calibri" w:hAnsi="Calibri"/>
            <w:color w:val="2E74B5"/>
            <w:sz w:val="16"/>
            <w:szCs w:val="16"/>
            <w:u w:val="single"/>
          </w:rPr>
          <w:t>M49: Standard country or area codes for statistical use</w:t>
        </w:r>
      </w:hyperlink>
    </w:p>
    <w:p>
      <w:pPr>
        <w:pStyle w:val="SourceEntry"/>
        <w:keepLines/>
      </w:pPr>
      <w:r>
        <w:rPr>
          <w:rFonts w:ascii="Calibri" w:hAnsi="Calibri"/>
          <w:b/>
          <w:color w:val="1A2633"/>
          <w:sz w:val="16"/>
        </w:rPr>
        <w:t xml:space="preserve">[2] ONU DESA. </w:t>
      </w:r>
      <w:hyperlink r:id="rId12">
        <w:r>
          <w:rPr>
            <w:rFonts w:ascii="Calibri" w:hAnsi="Calibri"/>
            <w:color w:val="2E74B5"/>
            <w:sz w:val="16"/>
            <w:szCs w:val="16"/>
            <w:u w:val="single"/>
          </w:rPr>
          <w:t>World Population Prospects 2024</w:t>
        </w:r>
      </w:hyperlink>
    </w:p>
    <w:p>
      <w:pPr>
        <w:pStyle w:val="SourceEntry"/>
        <w:keepLines/>
      </w:pPr>
      <w:r>
        <w:rPr>
          <w:rFonts w:ascii="Calibri" w:hAnsi="Calibri"/>
          <w:b/>
          <w:color w:val="1A2633"/>
          <w:sz w:val="16"/>
        </w:rPr>
        <w:t xml:space="preserve">[3] Banco Mundial. </w:t>
      </w:r>
      <w:hyperlink r:id="rId13">
        <w:r>
          <w:rPr>
            <w:rFonts w:ascii="Calibri" w:hAnsi="Calibri"/>
            <w:color w:val="2E74B5"/>
            <w:sz w:val="16"/>
            <w:szCs w:val="16"/>
            <w:u w:val="single"/>
          </w:rPr>
          <w:t>GDP (current US$), World Development Indicators</w:t>
        </w:r>
      </w:hyperlink>
    </w:p>
    <w:p>
      <w:pPr>
        <w:pStyle w:val="SourceEntry"/>
        <w:keepLines/>
      </w:pPr>
      <w:r>
        <w:rPr>
          <w:rFonts w:ascii="Calibri" w:hAnsi="Calibri"/>
          <w:b/>
          <w:color w:val="1A2633"/>
          <w:sz w:val="16"/>
        </w:rPr>
        <w:t xml:space="preserve">[4] Fondo Monetario Internacional. </w:t>
      </w:r>
      <w:hyperlink r:id="rId14">
        <w:r>
          <w:rPr>
            <w:rFonts w:ascii="Calibri" w:hAnsi="Calibri"/>
            <w:color w:val="2E74B5"/>
            <w:sz w:val="16"/>
            <w:szCs w:val="16"/>
            <w:u w:val="single"/>
          </w:rPr>
          <w:t>WEO: Groups and Aggregates Information</w:t>
        </w:r>
      </w:hyperlink>
    </w:p>
    <w:p>
      <w:pPr>
        <w:pStyle w:val="SourceEntry"/>
        <w:keepLines/>
      </w:pPr>
      <w:r>
        <w:rPr>
          <w:rFonts w:ascii="Calibri" w:hAnsi="Calibri"/>
          <w:b/>
          <w:color w:val="1A2633"/>
          <w:sz w:val="16"/>
        </w:rPr>
        <w:t xml:space="preserve">[5] SIPRI. </w:t>
      </w:r>
      <w:hyperlink r:id="rId15">
        <w:r>
          <w:rPr>
            <w:rFonts w:ascii="Calibri" w:hAnsi="Calibri"/>
            <w:color w:val="2E74B5"/>
            <w:sz w:val="16"/>
            <w:szCs w:val="16"/>
            <w:u w:val="single"/>
          </w:rPr>
          <w:t>Trends in World Military Expenditure, 2025</w:t>
        </w:r>
      </w:hyperlink>
    </w:p>
    <w:p>
      <w:pPr>
        <w:pStyle w:val="SourceEntry"/>
        <w:keepLines/>
      </w:pPr>
      <w:r>
        <w:rPr>
          <w:rFonts w:ascii="Calibri" w:hAnsi="Calibri"/>
          <w:b/>
          <w:color w:val="1A2633"/>
          <w:sz w:val="16"/>
        </w:rPr>
        <w:t xml:space="preserve">[6] USTR. </w:t>
      </w:r>
      <w:hyperlink r:id="rId16">
        <w:r>
          <w:rPr>
            <w:rFonts w:ascii="Calibri" w:hAnsi="Calibri"/>
            <w:color w:val="2E74B5"/>
            <w:sz w:val="16"/>
            <w:szCs w:val="16"/>
            <w:u w:val="single"/>
          </w:rPr>
          <w:t>United States–Mexico–Canada Agreement</w:t>
        </w:r>
      </w:hyperlink>
    </w:p>
    <w:p>
      <w:pPr>
        <w:pStyle w:val="SourceEntry"/>
        <w:keepLines/>
      </w:pPr>
      <w:r>
        <w:rPr>
          <w:rFonts w:ascii="Calibri" w:hAnsi="Calibri"/>
          <w:b/>
          <w:color w:val="1A2633"/>
          <w:sz w:val="16"/>
        </w:rPr>
        <w:t xml:space="preserve">[7] ASEAN Secretariat. </w:t>
      </w:r>
      <w:hyperlink r:id="rId17">
        <w:r>
          <w:rPr>
            <w:rFonts w:ascii="Calibri" w:hAnsi="Calibri"/>
            <w:color w:val="2E74B5"/>
            <w:sz w:val="16"/>
            <w:szCs w:val="16"/>
            <w:u w:val="single"/>
          </w:rPr>
          <w:t>ASEAN Key Figures 2025</w:t>
        </w:r>
      </w:hyperlink>
    </w:p>
    <w:p>
      <w:pPr>
        <w:pStyle w:val="SourceEntry"/>
        <w:keepLines/>
      </w:pPr>
      <w:r>
        <w:rPr>
          <w:rFonts w:ascii="Calibri" w:hAnsi="Calibri"/>
          <w:b/>
          <w:color w:val="1A2633"/>
          <w:sz w:val="16"/>
        </w:rPr>
        <w:t xml:space="preserve">[8] EEC. </w:t>
      </w:r>
      <w:hyperlink r:id="rId18">
        <w:r>
          <w:rPr>
            <w:rFonts w:ascii="Calibri" w:hAnsi="Calibri"/>
            <w:color w:val="2E74B5"/>
            <w:sz w:val="16"/>
            <w:szCs w:val="16"/>
            <w:u w:val="single"/>
          </w:rPr>
          <w:t>Structure and members of the Eurasian Economic Commission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D6875"/>
        <w:sz w:val="17"/>
      </w:rPr>
      <w:t xml:space="preserve">Página </w:t>
    </w:r>
    <w:r>
      <w:rPr>
        <w:color w:val="5D687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D6875"/>
        <w:sz w:val="16"/>
      </w:rPr>
      <w:t>RETÍCULA GLOBAL 2025  ·  INFORME DE REGIONALIZACIÓN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A26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Entry">
    <w:name w:val="SourceEntry"/>
    <w:pPr>
      <w:spacing w:before="0" w:after="40" w:line="240" w:lineRule="auto"/>
    </w:pPr>
    <w:rPr>
      <w:rFonts w:ascii="Calibri" w:hAnsi="Calibr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unstats.un.org/unsd/methodology/m49/" TargetMode="External"/><Relationship Id="rId12" Type="http://schemas.openxmlformats.org/officeDocument/2006/relationships/hyperlink" Target="https://population.un.org/wpp/" TargetMode="External"/><Relationship Id="rId13" Type="http://schemas.openxmlformats.org/officeDocument/2006/relationships/hyperlink" Target="https://data.worldbank.org/indicator/NY.GDP.MKTP.CD" TargetMode="External"/><Relationship Id="rId14" Type="http://schemas.openxmlformats.org/officeDocument/2006/relationships/hyperlink" Target="https://www.imf.org/en/publications/weo/weo-database/2025/april/groups-and-aggregates" TargetMode="External"/><Relationship Id="rId15" Type="http://schemas.openxmlformats.org/officeDocument/2006/relationships/hyperlink" Target="https://www.sipri.org/publications/2026/sipri-fact-sheets/trends-world-military-expenditure-2025" TargetMode="External"/><Relationship Id="rId16" Type="http://schemas.openxmlformats.org/officeDocument/2006/relationships/hyperlink" Target="https://ustr.gov/trade-agreements/free-trade-agreements/united-states-mexico-canada-agreement" TargetMode="External"/><Relationship Id="rId17" Type="http://schemas.openxmlformats.org/officeDocument/2006/relationships/hyperlink" Target="https://asean.org/wp-content/uploads/2025/12/AKF-2025_v3_202601151314.pdf" TargetMode="External"/><Relationship Id="rId18" Type="http://schemas.openxmlformats.org/officeDocument/2006/relationships/hyperlink" Target="https://eec.eaeunion.org/en/comission/abou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Regionalización de la Retícula Global</dc:title>
  <dc:subject>Comparación de propuestas de regionalización para un mapa simbólico mundial</dc:subject>
  <dc:creator>Retícula Global 2025</dc:creator>
  <cp:keywords>regionalización, mapa mundial, Retícula Global, geografía, demografía, economía, estrategia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