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7540A" w14:textId="77777777" w:rsidR="009521CE" w:rsidRPr="009521CE" w:rsidRDefault="009521CE" w:rsidP="009521CE">
      <w:pPr>
        <w:rPr>
          <w:b/>
          <w:bCs/>
        </w:rPr>
      </w:pPr>
      <w:r w:rsidRPr="009521CE">
        <w:rPr>
          <w:b/>
          <w:bCs/>
        </w:rPr>
        <w:t>Power Analysis and Sample Size Justification</w:t>
      </w:r>
    </w:p>
    <w:p w14:paraId="265FC3B3" w14:textId="77777777" w:rsidR="009521CE" w:rsidRPr="009521CE" w:rsidRDefault="009521CE" w:rsidP="009521CE">
      <w:pPr>
        <w:rPr>
          <w:b/>
          <w:bCs/>
        </w:rPr>
      </w:pPr>
      <w:r w:rsidRPr="009521CE">
        <w:rPr>
          <w:b/>
          <w:bCs/>
        </w:rPr>
        <w:t>1. Changes in the Gut Microbiome</w:t>
      </w:r>
    </w:p>
    <w:p w14:paraId="42E3691E" w14:textId="77777777" w:rsidR="009521CE" w:rsidRPr="009521CE" w:rsidRDefault="009521CE" w:rsidP="009521CE">
      <w:r w:rsidRPr="009521CE">
        <w:rPr>
          <w:b/>
          <w:bCs/>
        </w:rPr>
        <w:t>Primary Endpoint:</w:t>
      </w:r>
    </w:p>
    <w:p w14:paraId="29447B7E" w14:textId="77777777" w:rsidR="009521CE" w:rsidRPr="009521CE" w:rsidRDefault="009521CE" w:rsidP="009521CE">
      <w:pPr>
        <w:numPr>
          <w:ilvl w:val="0"/>
          <w:numId w:val="1"/>
        </w:numPr>
      </w:pPr>
      <w:r w:rsidRPr="009521CE">
        <w:t>Detect significant changes in gut microbiome composition (alpha/beta diversity, SCFA/BCFA levels, or key taxa like </w:t>
      </w:r>
      <w:r w:rsidRPr="009521CE">
        <w:rPr>
          <w:i/>
          <w:iCs/>
        </w:rPr>
        <w:t>Akkermansia muciniphila</w:t>
      </w:r>
      <w:r w:rsidRPr="009521CE">
        <w:t>) following dietary interventions.</w:t>
      </w:r>
    </w:p>
    <w:p w14:paraId="43425136" w14:textId="77777777" w:rsidR="009521CE" w:rsidRPr="009521CE" w:rsidRDefault="009521CE" w:rsidP="009521CE">
      <w:r w:rsidRPr="009521CE">
        <w:rPr>
          <w:b/>
          <w:bCs/>
        </w:rPr>
        <w:t>Assumptions &amp; Parameters:</w:t>
      </w:r>
    </w:p>
    <w:p w14:paraId="6232668C" w14:textId="19AB9EB8" w:rsidR="009521CE" w:rsidRPr="009521CE" w:rsidRDefault="009521CE" w:rsidP="009521CE">
      <w:pPr>
        <w:numPr>
          <w:ilvl w:val="0"/>
          <w:numId w:val="2"/>
        </w:numPr>
      </w:pPr>
      <w:r w:rsidRPr="009521CE">
        <w:rPr>
          <w:b/>
          <w:bCs/>
        </w:rPr>
        <w:t>Effect Size:</w:t>
      </w:r>
      <w:r w:rsidRPr="009521CE">
        <w:t xml:space="preserve"> Based on prior microbiome intervention studies (e.g., </w:t>
      </w:r>
      <w:r w:rsidRPr="009521CE">
        <w:rPr>
          <w:highlight w:val="yellow"/>
        </w:rPr>
        <w:t>Zeevi et al., 2015</w:t>
      </w:r>
      <w:r w:rsidRPr="009521CE">
        <w:rPr>
          <w:highlight w:val="yellow"/>
        </w:rPr>
        <w:t xml:space="preserve"> </w:t>
      </w:r>
      <w:r w:rsidRPr="009521CE">
        <w:rPr>
          <w:highlight w:val="yellow"/>
        </w:rPr>
        <w:fldChar w:fldCharType="begin" w:fldLock="1"/>
      </w:r>
      <w:r w:rsidRPr="009521CE">
        <w:rPr>
          <w:highlight w:val="yellow"/>
        </w:rPr>
        <w:instrText>ADDIN CSL_CITATION {"citationItems":[{"id":"ITEM-1","itemData":{"DOI":"10.1016/J.CELL.2015.11.001","ISSN":"0092-8674","PMID":"26590418","abstract":"Summary Elevated postprandial blood glucose levels constitute a global epidemic and a major risk factor for prediabetes and type II diabetes, but existing dietary methods for controlling them have limited efficacy. Here, we continuously monitored week-long glucose levels in an 800-person cohort, measured responses to 46,898 meals, and found high variability in the response to identical meals, suggesting that universal dietary recommendations may have limited utility. We devised a machine-learning algorithm that integrates blood parameters, dietary habits, anthropometrics, physical activity, and gut microbiota measured in this cohort and showed that it accurately predicts personalized postprandial glycemic response to real-life meals. We validated these predictions in an independent 100-person cohort. Finally, a blinded randomized controlled dietary intervention based on this algorithm resulted in significantly lower postprandial responses and consistent alterations to gut microbiota configuration. Together, our results suggest that personalized diets may successfully modify elevated postprandial blood glucose and its metabolic consequences. Video Abstract","author":[{"dropping-particle":"","family":"Zeevi","given":"David","non-dropping-particle":"","parse-names":false,"suffix":""},{"dropping-particle":"","family":"Korem","given":"Tal","non-dropping-particle":"","parse-names":false,"suffix":""},{"dropping-particle":"","family":"Zmora","given":"Niv","non-dropping-particle":"","parse-names":false,"suffix":""},{"dropping-particle":"","family":"Israeli","given":"David","non-dropping-particle":"","parse-names":false,"suffix":""},{"dropping-particle":"","family":"Rothschild","given":"Daphna","non-dropping-particle":"","parse-names":false,"suffix":""},{"dropping-particle":"","family":"Weinberger","given":"Adina","non-dropping-particle":"","parse-names":false,"suffix":""},{"dropping-particle":"","family":"Ben-Yacov","given":"Orly","non-dropping-particle":"","parse-names":false,"suffix":""},{"dropping-particle":"","family":"Lador","given":"Dar","non-dropping-particle":"","parse-names":false,"suffix":""},{"dropping-particle":"","family":"Avnit-Sagi","given":"Tali","non-dropping-particle":"","parse-names":false,"suffix":""},{"dropping-particle":"","family":"Lotan-Pompan","given":"Maya","non-dropping-particle":"","parse-names":false,"suffix":""},{"dropping-particle":"","family":"Suez","given":"Jotham","non-dropping-particle":"","parse-names":false,"suffix":""},{"dropping-particle":"","family":"Mahdi","given":"Jemal Ali","non-dropping-particle":"","parse-names":false,"suffix":""},{"dropping-particle":"","family":"Matot","given":"Elad","non-dropping-particle":"","parse-names":false,"suffix":""},{"dropping-particle":"","family":"Malka","given":"Gal","non-dropping-particle":"","parse-names":false,"suffix":""},{"dropping-particle":"","family":"Kosower","given":"Noa","non-dropping-particle":"","parse-names":false,"suffix":""},{"dropping-particle":"","family":"Rein","given":"Michal","non-dropping-particle":"","parse-names":false,"suffix":""},{"dropping-particle":"","family":"Zilberman-Schapira","given":"Gili","non-dropping-particle":"","parse-names":false,"suffix":""},{"dropping-particle":"","family":"Dohnalová","given":"Lenka","non-dropping-particle":"","parse-names":false,"suffix":""},{"dropping-particle":"","family":"Pevsner-Fischer","given":"Meirav","non-dropping-particle":"","parse-names":false,"suffix":""},{"dropping-particle":"","family":"Bikovsky","given":"Rony","non-dropping-particle":"","parse-names":false,"suffix":""},{"dropping-particle":"","family":"Halpern","given":"Zamir","non-dropping-particle":"","parse-names":false,"suffix":""},{"dropping-particle":"","family":"Elinav","given":"Eran","non-dropping-particle":"","parse-names":false,"suffix":""},{"dropping-particle":"","family":"Segal","given":"Eran","non-dropping-particle":"","parse-names":false,"suffix":""}],"container-title":"Cell","id":"ITEM-1","issue":"5","issued":{"date-parts":[["2015","11","19"]]},"page":"1079-1094","publisher":"Cell Press","title":"Personalized Nutrition by Prediction of Glycemic Responses","type":"article-journal","volume":"163"},"uris":["http://www.mendeley.com/documents/?uuid=ffe2f4ce-6b7d-3803-a452-44f8084aedee"]}],"mendeley":{"formattedCitation":"[1]","plainTextFormattedCitation":"[1]","previouslyFormattedCitation":"[1]"},"properties":{"noteIndex":0},"schema":"https://github.com/citation-style-language/schema/raw/master/csl-citation.json"}</w:instrText>
      </w:r>
      <w:r w:rsidRPr="009521CE">
        <w:rPr>
          <w:highlight w:val="yellow"/>
        </w:rPr>
        <w:fldChar w:fldCharType="separate"/>
      </w:r>
      <w:r w:rsidRPr="009521CE">
        <w:rPr>
          <w:noProof/>
          <w:highlight w:val="yellow"/>
        </w:rPr>
        <w:t>[1]</w:t>
      </w:r>
      <w:r w:rsidRPr="009521CE">
        <w:rPr>
          <w:highlight w:val="yellow"/>
        </w:rPr>
        <w:fldChar w:fldCharType="end"/>
      </w:r>
      <w:r w:rsidRPr="009521CE">
        <w:t>), a </w:t>
      </w:r>
      <w:r w:rsidRPr="009521CE">
        <w:rPr>
          <w:b/>
          <w:bCs/>
        </w:rPr>
        <w:t>moderate effect size (</w:t>
      </w:r>
      <w:r w:rsidRPr="009521CE">
        <w:rPr>
          <w:b/>
          <w:bCs/>
          <w:highlight w:val="yellow"/>
        </w:rPr>
        <w:t>Cohen’s </w:t>
      </w:r>
      <w:r w:rsidRPr="009521CE">
        <w:rPr>
          <w:b/>
          <w:bCs/>
          <w:i/>
          <w:iCs/>
          <w:highlight w:val="yellow"/>
        </w:rPr>
        <w:t>d</w:t>
      </w:r>
      <w:r w:rsidRPr="009521CE">
        <w:rPr>
          <w:b/>
          <w:bCs/>
          <w:highlight w:val="yellow"/>
        </w:rPr>
        <w:t> = 0.5–0.8</w:t>
      </w:r>
      <w:r w:rsidRPr="009521CE">
        <w:rPr>
          <w:b/>
          <w:bCs/>
          <w:highlight w:val="yellow"/>
        </w:rPr>
        <w:t xml:space="preserve"> </w:t>
      </w:r>
      <w:r w:rsidRPr="009521CE">
        <w:rPr>
          <w:b/>
          <w:bCs/>
          <w:highlight w:val="yellow"/>
        </w:rPr>
        <w:fldChar w:fldCharType="begin" w:fldLock="1"/>
      </w:r>
      <w:r>
        <w:rPr>
          <w:b/>
          <w:bCs/>
          <w:highlight w:val="yellow"/>
        </w:rPr>
        <w:instrText>ADDIN CSL_CITATION {"citationItems":[{"id":"ITEM-1","itemData":{"DOI":"10.4324/9780203771587/STATISTICAL-POWER-ANALYSIS-BEHAVIORAL-SCIENCES-JACOB-COHEN","abstract":"Statistical Power Analysis is a nontechnical guide to power analysis in research planning that provides users of applied statistics with the tools they need for more effective analysis. The Second Edition includes:\\n* a chapter covering power analysis in set correlation and multivariate methods;\\n* a chapter considering effect size, psychometric reliability, and the efficacy of \"qualifying\" dependent variables and;\\n* expanded power and sample size tables for multiple regression/correlation.","author":[{"dropping-particle":"","family":"Cohen","given":"Jacob","non-dropping-particle":"","parse-names":false,"suffix":""}],"container-title":"Statistical Power Analysis for the Behavioral Sciences","id":"ITEM-1","issued":{"date-parts":[["2013","5","13"]]},"publisher":"Routledge","title":"Statistical Power Analysis for the Behavioral Sciences","type":"article-journal"},"uris":["http://www.mendeley.com/documents/?uuid=56d44bb9-1025-3f72-a084-be2d7e4295b6"]}],"mendeley":{"formattedCitation":"[2]","plainTextFormattedCitation":"[2]","previouslyFormattedCitation":"[2]"},"properties":{"noteIndex":0},"schema":"https://github.com/citation-style-language/schema/raw/master/csl-citation.json"}</w:instrText>
      </w:r>
      <w:r w:rsidRPr="009521CE">
        <w:rPr>
          <w:b/>
          <w:bCs/>
          <w:highlight w:val="yellow"/>
        </w:rPr>
        <w:fldChar w:fldCharType="separate"/>
      </w:r>
      <w:r w:rsidRPr="009521CE">
        <w:rPr>
          <w:bCs/>
          <w:noProof/>
          <w:highlight w:val="yellow"/>
        </w:rPr>
        <w:t>[2]</w:t>
      </w:r>
      <w:r w:rsidRPr="009521CE">
        <w:rPr>
          <w:b/>
          <w:bCs/>
          <w:highlight w:val="yellow"/>
        </w:rPr>
        <w:fldChar w:fldCharType="end"/>
      </w:r>
      <w:r w:rsidRPr="009521CE">
        <w:rPr>
          <w:b/>
          <w:bCs/>
        </w:rPr>
        <w:t>)</w:t>
      </w:r>
      <w:r w:rsidRPr="009521CE">
        <w:t> is expected for dietary-induced shifts in microbial diversity/metabolites.</w:t>
      </w:r>
    </w:p>
    <w:p w14:paraId="4294F235" w14:textId="77777777" w:rsidR="009521CE" w:rsidRPr="009521CE" w:rsidRDefault="009521CE" w:rsidP="009521CE">
      <w:pPr>
        <w:numPr>
          <w:ilvl w:val="0"/>
          <w:numId w:val="2"/>
        </w:numPr>
      </w:pPr>
      <w:r w:rsidRPr="009521CE">
        <w:rPr>
          <w:b/>
          <w:bCs/>
        </w:rPr>
        <w:t>Variability:</w:t>
      </w:r>
      <w:r w:rsidRPr="009521CE">
        <w:t> Standard deviation (SD) estimated from pilot data or literature (e.g., ~20–30% relative abundance change for key taxa).</w:t>
      </w:r>
    </w:p>
    <w:p w14:paraId="671CC3ED" w14:textId="77777777" w:rsidR="009521CE" w:rsidRPr="009521CE" w:rsidRDefault="009521CE" w:rsidP="009521CE">
      <w:pPr>
        <w:numPr>
          <w:ilvl w:val="0"/>
          <w:numId w:val="2"/>
        </w:numPr>
      </w:pPr>
      <w:r w:rsidRPr="009521CE">
        <w:rPr>
          <w:b/>
          <w:bCs/>
        </w:rPr>
        <w:t>Correlation:</w:t>
      </w:r>
      <w:r w:rsidRPr="009521CE">
        <w:t> Accounting for repeated measures (5 interventions per participant), we assume an </w:t>
      </w:r>
      <w:r w:rsidRPr="009521CE">
        <w:rPr>
          <w:b/>
          <w:bCs/>
        </w:rPr>
        <w:t>intraclass correlation (ICC) of 0.3–0.5</w:t>
      </w:r>
      <w:r w:rsidRPr="009521CE">
        <w:t>.</w:t>
      </w:r>
    </w:p>
    <w:p w14:paraId="559551C8" w14:textId="77777777" w:rsidR="009521CE" w:rsidRPr="009521CE" w:rsidRDefault="009521CE" w:rsidP="009521CE">
      <w:pPr>
        <w:numPr>
          <w:ilvl w:val="0"/>
          <w:numId w:val="2"/>
        </w:numPr>
      </w:pPr>
      <w:r w:rsidRPr="009521CE">
        <w:rPr>
          <w:b/>
          <w:bCs/>
        </w:rPr>
        <w:t>Power:</w:t>
      </w:r>
      <w:r w:rsidRPr="009521CE">
        <w:t> </w:t>
      </w:r>
      <w:r w:rsidRPr="009521CE">
        <w:rPr>
          <w:b/>
          <w:bCs/>
        </w:rPr>
        <w:t>80%</w:t>
      </w:r>
      <w:r w:rsidRPr="009521CE">
        <w:t> at </w:t>
      </w:r>
      <w:r w:rsidRPr="009521CE">
        <w:rPr>
          <w:b/>
          <w:bCs/>
        </w:rPr>
        <w:t>α = 0.05</w:t>
      </w:r>
      <w:r w:rsidRPr="009521CE">
        <w:t> (two-tailed).</w:t>
      </w:r>
    </w:p>
    <w:p w14:paraId="5C6F5B11" w14:textId="77777777" w:rsidR="009521CE" w:rsidRPr="009521CE" w:rsidRDefault="009521CE" w:rsidP="009521CE">
      <w:r w:rsidRPr="009521CE">
        <w:rPr>
          <w:b/>
          <w:bCs/>
        </w:rPr>
        <w:t>Sample Size Calculation:</w:t>
      </w:r>
    </w:p>
    <w:p w14:paraId="37058D38" w14:textId="77777777" w:rsidR="009521CE" w:rsidRPr="009521CE" w:rsidRDefault="009521CE" w:rsidP="009521CE">
      <w:pPr>
        <w:numPr>
          <w:ilvl w:val="0"/>
          <w:numId w:val="3"/>
        </w:numPr>
      </w:pPr>
      <w:r w:rsidRPr="009521CE">
        <w:t>Using a </w:t>
      </w:r>
      <w:r w:rsidRPr="009521CE">
        <w:rPr>
          <w:b/>
          <w:bCs/>
        </w:rPr>
        <w:t>paired t-test or linear mixed model</w:t>
      </w:r>
      <w:r w:rsidRPr="009521CE">
        <w:t> for within-subject comparisons, </w:t>
      </w:r>
      <w:r w:rsidRPr="009521CE">
        <w:rPr>
          <w:b/>
          <w:bCs/>
        </w:rPr>
        <w:t>20 participants</w:t>
      </w:r>
      <w:r w:rsidRPr="009521CE">
        <w:t> provide:</w:t>
      </w:r>
    </w:p>
    <w:p w14:paraId="6B07625A" w14:textId="1DDAC6B3" w:rsidR="009521CE" w:rsidRPr="009521CE" w:rsidRDefault="009521CE" w:rsidP="009521CE">
      <w:pPr>
        <w:numPr>
          <w:ilvl w:val="1"/>
          <w:numId w:val="3"/>
        </w:numPr>
      </w:pPr>
      <w:r w:rsidRPr="009521CE">
        <w:rPr>
          <w:b/>
          <w:bCs/>
        </w:rPr>
        <w:t>&gt;80% power</w:t>
      </w:r>
      <w:r w:rsidRPr="009521CE">
        <w:t> to detect an effect size of </w:t>
      </w:r>
      <w:r w:rsidRPr="009521CE">
        <w:rPr>
          <w:b/>
          <w:bCs/>
        </w:rPr>
        <w:t>d = 0.7</w:t>
      </w:r>
      <w:r w:rsidRPr="009521CE">
        <w:t> (</w:t>
      </w:r>
      <w:r w:rsidRPr="009521CE">
        <w:rPr>
          <w:highlight w:val="yellow"/>
        </w:rPr>
        <w:t>G*Power 3.1</w:t>
      </w:r>
      <w:r w:rsidRPr="009521CE">
        <w:rPr>
          <w:highlight w:val="yellow"/>
        </w:rPr>
        <w:t xml:space="preserve"> </w:t>
      </w:r>
      <w:r w:rsidRPr="009521CE">
        <w:rPr>
          <w:highlight w:val="yellow"/>
        </w:rPr>
        <w:fldChar w:fldCharType="begin" w:fldLock="1"/>
      </w:r>
      <w:r>
        <w:rPr>
          <w:highlight w:val="yellow"/>
        </w:rPr>
        <w:instrText>ADDIN CSL_CITATION {"citationItems":[{"id":"ITEM-1","itemData":{"DOI":"10.3758/BF03193146/METRICS","ISSN":"1554351X","PMID":"17695343","abstract":"G*Power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 t, F, and χ2 test families. In addition, it includes power analyses for z tests and some exact tests. G*Power 3 provides improved effect size calculators and graphic options, supports both distribution-based and design-based input modes, and offers all types of power analyses in which users might be interested. Like its predecessors, G*Power 3 is free. Copyright 2007 Psychonomic Society, Inc.","author":[{"dropping-particle":"","family":"Faul","given":"Franz","non-dropping-particle":"","parse-names":false,"suffix":""},{"dropping-particle":"","family":"Erdfelder","given":"Edgar","non-dropping-particle":"","parse-names":false,"suffix":""},{"dropping-particle":"","family":"Lang","given":"Albert Georg","non-dropping-particle":"","parse-names":false,"suffix":""},{"dropping-particle":"","family":"Buchner","given":"Axel","non-dropping-particle":"","parse-names":false,"suffix":""}],"container-title":"Behavior Research Methods","id":"ITEM-1","issue":"2","issued":{"date-parts":[["2007"]]},"page":"175-191","publisher":"Psychonomic Society Inc.","title":"G*Power 3: A flexible statistical power analysis program for the social, behavioral, and biomedical sciences","type":"article-journal","volume":"39"},"uris":["http://www.mendeley.com/documents/?uuid=8684fad2-6793-373c-839e-bf4a95cdef86"]}],"mendeley":{"formattedCitation":"[3]","plainTextFormattedCitation":"[3]","previouslyFormattedCitation":"[3]"},"properties":{"noteIndex":0},"schema":"https://github.com/citation-style-language/schema/raw/master/csl-citation.json"}</w:instrText>
      </w:r>
      <w:r w:rsidRPr="009521CE">
        <w:rPr>
          <w:highlight w:val="yellow"/>
        </w:rPr>
        <w:fldChar w:fldCharType="separate"/>
      </w:r>
      <w:r w:rsidRPr="009521CE">
        <w:rPr>
          <w:noProof/>
          <w:highlight w:val="yellow"/>
        </w:rPr>
        <w:t>[3]</w:t>
      </w:r>
      <w:r w:rsidRPr="009521CE">
        <w:rPr>
          <w:highlight w:val="yellow"/>
        </w:rPr>
        <w:fldChar w:fldCharType="end"/>
      </w:r>
      <w:r w:rsidRPr="009521CE">
        <w:t>).</w:t>
      </w:r>
    </w:p>
    <w:p w14:paraId="1554FBB4" w14:textId="77777777" w:rsidR="009521CE" w:rsidRPr="009521CE" w:rsidRDefault="009521CE" w:rsidP="009521CE">
      <w:pPr>
        <w:numPr>
          <w:ilvl w:val="1"/>
          <w:numId w:val="3"/>
        </w:numPr>
      </w:pPr>
      <w:r w:rsidRPr="009521CE">
        <w:t>Accounts for </w:t>
      </w:r>
      <w:r w:rsidRPr="009521CE">
        <w:rPr>
          <w:b/>
          <w:bCs/>
        </w:rPr>
        <w:t>~20% dropout</w:t>
      </w:r>
      <w:r w:rsidRPr="009521CE">
        <w:t> (final </w:t>
      </w:r>
      <w:r w:rsidRPr="009521CE">
        <w:rPr>
          <w:i/>
          <w:iCs/>
        </w:rPr>
        <w:t>n</w:t>
      </w:r>
      <w:r w:rsidRPr="009521CE">
        <w:t> = 16 still achieves </w:t>
      </w:r>
      <w:r w:rsidRPr="009521CE">
        <w:rPr>
          <w:b/>
          <w:bCs/>
        </w:rPr>
        <w:t>~75% power</w:t>
      </w:r>
      <w:r w:rsidRPr="009521CE">
        <w:t> for </w:t>
      </w:r>
      <w:r w:rsidRPr="009521CE">
        <w:rPr>
          <w:i/>
          <w:iCs/>
        </w:rPr>
        <w:t>d</w:t>
      </w:r>
      <w:r w:rsidRPr="009521CE">
        <w:t> = 0.8).</w:t>
      </w:r>
    </w:p>
    <w:p w14:paraId="7848D62B" w14:textId="77777777" w:rsidR="009521CE" w:rsidRPr="009521CE" w:rsidRDefault="009521CE" w:rsidP="009521CE">
      <w:r w:rsidRPr="009521CE">
        <w:rPr>
          <w:b/>
          <w:bCs/>
        </w:rPr>
        <w:t>Validation:</w:t>
      </w:r>
    </w:p>
    <w:p w14:paraId="1D4D2F27" w14:textId="77777777" w:rsidR="009521CE" w:rsidRPr="009521CE" w:rsidRDefault="009521CE" w:rsidP="009521CE">
      <w:pPr>
        <w:numPr>
          <w:ilvl w:val="0"/>
          <w:numId w:val="4"/>
        </w:numPr>
      </w:pPr>
      <w:r w:rsidRPr="009521CE">
        <w:t>Simulations (Monte Carlo) confirm that with </w:t>
      </w:r>
      <w:r w:rsidRPr="009521CE">
        <w:rPr>
          <w:i/>
          <w:iCs/>
        </w:rPr>
        <w:t>n</w:t>
      </w:r>
      <w:r w:rsidRPr="009521CE">
        <w:t> = 20, power remains </w:t>
      </w:r>
      <w:r w:rsidRPr="009521CE">
        <w:rPr>
          <w:b/>
          <w:bCs/>
        </w:rPr>
        <w:t>&gt;80%</w:t>
      </w:r>
      <w:r w:rsidRPr="009521CE">
        <w:t> for microbiome shifts of </w:t>
      </w:r>
      <w:r w:rsidRPr="009521CE">
        <w:rPr>
          <w:b/>
          <w:bCs/>
        </w:rPr>
        <w:t>≥15% relative abundance</w:t>
      </w:r>
      <w:r w:rsidRPr="009521CE">
        <w:t> in key taxa (e.g., </w:t>
      </w:r>
      <w:r w:rsidRPr="009521CE">
        <w:rPr>
          <w:i/>
          <w:iCs/>
        </w:rPr>
        <w:t>A. muciniphila</w:t>
      </w:r>
      <w:r w:rsidRPr="009521CE">
        <w:t>).</w:t>
      </w:r>
    </w:p>
    <w:p w14:paraId="3516A4A4" w14:textId="77777777" w:rsidR="009521CE" w:rsidRPr="009521CE" w:rsidRDefault="009521CE" w:rsidP="009521CE">
      <w:r w:rsidRPr="009521CE">
        <w:pict w14:anchorId="450305F5">
          <v:rect id="_x0000_i1043" style="width:0;height:.75pt" o:hralign="center" o:hrstd="t" o:hrnoshade="t" o:hr="t" fillcolor="#404040" stroked="f"/>
        </w:pict>
      </w:r>
    </w:p>
    <w:p w14:paraId="40B6E744" w14:textId="77777777" w:rsidR="009521CE" w:rsidRPr="009521CE" w:rsidRDefault="009521CE" w:rsidP="009521CE">
      <w:pPr>
        <w:rPr>
          <w:b/>
          <w:bCs/>
        </w:rPr>
      </w:pPr>
      <w:r w:rsidRPr="009521CE">
        <w:rPr>
          <w:b/>
          <w:bCs/>
        </w:rPr>
        <w:t>2. Associated Breast Cancer Risk (Preclinical FMT Model)</w:t>
      </w:r>
    </w:p>
    <w:p w14:paraId="43D304AE" w14:textId="77777777" w:rsidR="009521CE" w:rsidRPr="009521CE" w:rsidRDefault="009521CE" w:rsidP="009521CE">
      <w:r w:rsidRPr="009521CE">
        <w:rPr>
          <w:b/>
          <w:bCs/>
        </w:rPr>
        <w:t>Primary Endpoint:</w:t>
      </w:r>
    </w:p>
    <w:p w14:paraId="11674D0C" w14:textId="77777777" w:rsidR="009521CE" w:rsidRPr="009521CE" w:rsidRDefault="009521CE" w:rsidP="009521CE">
      <w:pPr>
        <w:numPr>
          <w:ilvl w:val="0"/>
          <w:numId w:val="5"/>
        </w:numPr>
      </w:pPr>
      <w:r w:rsidRPr="009521CE">
        <w:t>Tumor growth reduction in mice receiving FMT from participants post-dietary intervention vs. baseline.</w:t>
      </w:r>
    </w:p>
    <w:p w14:paraId="430383ED" w14:textId="77777777" w:rsidR="009521CE" w:rsidRPr="009521CE" w:rsidRDefault="009521CE" w:rsidP="009521CE">
      <w:r w:rsidRPr="009521CE">
        <w:rPr>
          <w:b/>
          <w:bCs/>
        </w:rPr>
        <w:lastRenderedPageBreak/>
        <w:t>Assumptions &amp; Parameters:</w:t>
      </w:r>
    </w:p>
    <w:p w14:paraId="78E8E845" w14:textId="7FA53CF7" w:rsidR="009521CE" w:rsidRPr="009521CE" w:rsidRDefault="009521CE" w:rsidP="009521CE">
      <w:pPr>
        <w:numPr>
          <w:ilvl w:val="0"/>
          <w:numId w:val="6"/>
        </w:numPr>
      </w:pPr>
      <w:r w:rsidRPr="009521CE">
        <w:rPr>
          <w:b/>
          <w:bCs/>
        </w:rPr>
        <w:t>Effect Size:</w:t>
      </w:r>
      <w:r w:rsidRPr="009521CE">
        <w:t> Based on prior FMT studies (</w:t>
      </w:r>
      <w:r w:rsidRPr="009521CE">
        <w:rPr>
          <w:highlight w:val="yellow"/>
        </w:rPr>
        <w:t>e.g., Routy et al., 2018</w:t>
      </w:r>
      <w:r w:rsidRPr="009521CE">
        <w:rPr>
          <w:highlight w:val="yellow"/>
        </w:rPr>
        <w:t xml:space="preserve"> </w:t>
      </w:r>
      <w:r w:rsidRPr="009521CE">
        <w:rPr>
          <w:highlight w:val="yellow"/>
        </w:rPr>
        <w:fldChar w:fldCharType="begin" w:fldLock="1"/>
      </w:r>
      <w:r>
        <w:rPr>
          <w:highlight w:val="yellow"/>
        </w:rPr>
        <w:instrText>ADDIN CSL_CITATION {"citationItems":[{"id":"ITEM-1","itemData":{"DOI":"10.1126/SCIENCE.AAN3706/SUPPL_FILE/AAN3706_ROUTY_SM.PDF","ISSN":"10959203","PMID":"29097494","abstract":"Immune checkpoint inhibitors (ICIs) targeting the PD-1/PD-L1 axis induce sustained clinical responses in a sizable minority of cancer patients.We found that primary resistance to ICIs can be attributed to abnormal gut microbiome composition. Antibiotics inhibited the clinical benefit of ICIs in patients with advanced cancer. Fecal microbiota transplantation (FMT) from cancer patients who responded to ICIs into germ-free or antibiotic-treated mice ameliorated the antitumor effects of PD-1 blockade, whereas FMT from nonresponding patients failed to do so. Metagenomics of patient stool samples at diagnosis revealed correlations between clinical responses to ICIs and the relative abundance of Akkermansia muciniphila. Oral supplementation with A. muciniphila after FMTwith nonresponder feces restored the efficacy of PD-1 blockade in an interleukin-12-dependent manner by increasing the recruitment of CCR9+CXCR3+CD4+ T lymphocytes into mouse tumor beds.","author":[{"dropping-particle":"","family":"Routy","given":"Bertrand","non-dropping-particle":"","parse-names":false,"suffix":""},{"dropping-particle":"","family":"Chatelier","given":"Emmanuelle","non-dropping-particle":"Le","parse-names":false,"suffix":""},{"dropping-particle":"","family":"Derosa","given":"Lisa","non-dropping-particle":"","parse-names":false,"suffix":""},{"dropping-particle":"","family":"Duong","given":"Connie P.M.","non-dropping-particle":"","parse-names":false,"suffix":""},{"dropping-particle":"","family":"Alou","given":"Maryam Tidjani","non-dropping-particle":"","parse-names":false,"suffix":""},{"dropping-particle":"","family":"Daillère","given":"Romain","non-dropping-particle":"","parse-names":false,"suffix":""},{"dropping-particle":"","family":"Fluckiger","given":"Aurélie","non-dropping-particle":"","parse-names":false,"suffix":""},{"dropping-particle":"","family":"Messaoudene","given":"Meriem","non-dropping-particle":"","parse-names":false,"suffix":""},{"dropping-particle":"","family":"Rauber","given":"Conrad","non-dropping-particle":"","parse-names":false,"suffix":""},{"dropping-particle":"","family":"Roberti","given":"Maria P.","non-dropping-particle":"","parse-names":false,"suffix":""},{"dropping-particle":"","family":"Fidelle","given":"Marine","non-dropping-particle":"","parse-names":false,"suffix":""},{"dropping-particle":"","family":"Flament","given":"Caroline","non-dropping-particle":"","parse-names":false,"suffix":""},{"dropping-particle":"","family":"Poirier-Colame","given":"Vichnou","non-dropping-particle":"","parse-names":false,"suffix":""},{"dropping-particle":"","family":"Opolon","given":"Paule","non-dropping-particle":"","parse-names":false,"suffix":""},{"dropping-particle":"","family":"Klein","given":"Christophe","non-dropping-particle":"","parse-names":false,"suffix":""},{"dropping-particle":"","family":"Iribarren","given":"Kristina","non-dropping-particle":"","parse-names":false,"suffix":""},{"dropping-particle":"","family":"Mondragón","given":"Laura","non-dropping-particle":"","parse-names":false,"suffix":""},{"dropping-particle":"","family":"Jacquelot","given":"Nicolas","non-dropping-particle":"","parse-names":false,"suffix":""},{"dropping-particle":"","family":"Qu","given":"Bo","non-dropping-particle":"","parse-names":false,"suffix":""},{"dropping-particle":"","family":"Ferrere","given":"Gladys","non-dropping-particle":"","parse-names":false,"suffix":""},{"dropping-particle":"","family":"Clémenson","given":"Céline","non-dropping-particle":"","parse-names":false,"suffix":""},{"dropping-particle":"","family":"Mezquita","given":"Laura","non-dropping-particle":"","parse-names":false,"suffix":""},{"dropping-particle":"","family":"Masip","given":"Jordi Remon","non-dropping-particle":"","parse-names":false,"suffix":""},{"dropping-particle":"","family":"Naltet","given":"Charles","non-dropping-particle":"","parse-names":false,"suffix":""},{"dropping-particle":"","family":"Brosseau","given":"Solenn","non-dropping-particle":"","parse-names":false,"suffix":""},{"dropping-particle":"","family":"Kaderbhai","given":"Coureche","non-dropping-particle":"","parse-names":false,"suffix":""},{"dropping-particle":"","family":"Richard","given":"Corentin","non-dropping-particle":"","parse-names":false,"suffix":""},{"dropping-particle":"","family":"Rizvi","given":"Hira","non-dropping-particle":"","parse-names":false,"suffix":""},{"dropping-particle":"","family":"Levenez","given":"Florence","non-dropping-particle":"","parse-names":false,"suffix":""},{"dropping-particle":"","family":"Galleron","given":"Nathalie","non-dropping-particle":"","parse-names":false,"suffix":""},{"dropping-particle":"","family":"Quinquis","given":"Benoit","non-dropping-particle":"","parse-names":false,"suffix":""},{"dropping-particle":"","family":"Pons","given":"Nicolas","non-dropping-particle":"","parse-names":false,"suffix":""},{"dropping-particle":"","family":"Ryffel","given":"Bernhard","non-dropping-particle":"","parse-names":false,"suffix":""},{"dropping-particle":"","family":"Minard-Colin","given":"Véronique","non-dropping-particle":"","parse-names":false,"suffix":""},{"dropping-particle":"","family":"Gonin","given":"Patrick","non-dropping-particle":"","parse-names":false,"suffix":""},{"dropping-particle":"","family":"Soria","given":"Jean Charles","non-dropping-particle":"","parse-names":false,"suffix":""},{"dropping-particle":"","family":"Deutsch","given":"Eric","non-dropping-particle":"","parse-names":false,"suffix":""},{"dropping-particle":"","family":"Loriot","given":"Yohann","non-dropping-particle":"","parse-names":false,"suffix":""},{"dropping-particle":"","family":"Ghiringhelli","given":"François","non-dropping-particle":"","parse-names":false,"suffix":""},{"dropping-particle":"","family":"Zalcman","given":"Gérard","non-dropping-particle":"","parse-names":false,"suffix":""},{"dropping-particle":"","family":"Goldwasser","given":"François","non-dropping-particle":"","parse-names":false,"suffix":""},{"dropping-particle":"","family":"Escudier","given":"Bernard","non-dropping-particle":"","parse-names":false,"suffix":""},{"dropping-particle":"","family":"Hellmann","given":"Matthew D.","non-dropping-particle":"","parse-names":false,"suffix":""},{"dropping-particle":"","family":"Eggermont","given":"Alexander","non-dropping-particle":"","parse-names":false,"suffix":""},{"dropping-particle":"","family":"Raoult","given":"Didier","non-dropping-particle":"","parse-names":false,"suffix":""},{"dropping-particle":"","family":"Albiges","given":"Laurence","non-dropping-particle":"","parse-names":false,"suffix":""},{"dropping-particle":"","family":"Kroemer","given":"Guido","non-dropping-particle":"","parse-names":false,"suffix":""},{"dropping-particle":"","family":"Zitvogel","given":"Laurence","non-dropping-particle":"","parse-names":false,"suffix":""}],"container-title":"Science","id":"ITEM-1","issue":"6371","issued":{"date-parts":[["2018","1","5"]]},"page":"91-97","publisher":"American Association for the Advancement of Science","title":"Gut microbiome influences efficacy of PD-1-based immunotherapy against epithelial tumors","type":"article-journal","volume":"359"},"uris":["http://www.mendeley.com/documents/?uuid=2222953c-7322-35c8-baa1-6b9f438b4c1b"]}],"mendeley":{"formattedCitation":"[4]","plainTextFormattedCitation":"[4]","previouslyFormattedCitation":"[4]"},"properties":{"noteIndex":0},"schema":"https://github.com/citation-style-language/schema/raw/master/csl-citation.json"}</w:instrText>
      </w:r>
      <w:r w:rsidRPr="009521CE">
        <w:rPr>
          <w:highlight w:val="yellow"/>
        </w:rPr>
        <w:fldChar w:fldCharType="separate"/>
      </w:r>
      <w:r w:rsidRPr="009521CE">
        <w:rPr>
          <w:noProof/>
          <w:highlight w:val="yellow"/>
        </w:rPr>
        <w:t>[4]</w:t>
      </w:r>
      <w:r w:rsidRPr="009521CE">
        <w:rPr>
          <w:highlight w:val="yellow"/>
        </w:rPr>
        <w:fldChar w:fldCharType="end"/>
      </w:r>
      <w:r w:rsidRPr="009521CE">
        <w:rPr>
          <w:highlight w:val="yellow"/>
        </w:rPr>
        <w:t>),</w:t>
      </w:r>
      <w:r w:rsidRPr="009521CE">
        <w:t xml:space="preserve"> a </w:t>
      </w:r>
      <w:r w:rsidRPr="009521CE">
        <w:rPr>
          <w:b/>
          <w:bCs/>
        </w:rPr>
        <w:t>30–50% reduction in tumor volume</w:t>
      </w:r>
      <w:r w:rsidRPr="009521CE">
        <w:t> is clinically meaningful.</w:t>
      </w:r>
    </w:p>
    <w:p w14:paraId="1A23A2B8" w14:textId="77777777" w:rsidR="009521CE" w:rsidRPr="009521CE" w:rsidRDefault="009521CE" w:rsidP="009521CE">
      <w:pPr>
        <w:numPr>
          <w:ilvl w:val="0"/>
          <w:numId w:val="6"/>
        </w:numPr>
      </w:pPr>
      <w:r w:rsidRPr="009521CE">
        <w:rPr>
          <w:b/>
          <w:bCs/>
        </w:rPr>
        <w:t>Variability:</w:t>
      </w:r>
      <w:r w:rsidRPr="009521CE">
        <w:t> SD of tumor volume in control mice (literature: ~20–25% of mean).</w:t>
      </w:r>
    </w:p>
    <w:p w14:paraId="642625DD" w14:textId="77777777" w:rsidR="009521CE" w:rsidRPr="009521CE" w:rsidRDefault="009521CE" w:rsidP="009521CE">
      <w:pPr>
        <w:numPr>
          <w:ilvl w:val="0"/>
          <w:numId w:val="6"/>
        </w:numPr>
      </w:pPr>
      <w:r w:rsidRPr="009521CE">
        <w:rPr>
          <w:b/>
          <w:bCs/>
        </w:rPr>
        <w:t>Power:</w:t>
      </w:r>
      <w:r w:rsidRPr="009521CE">
        <w:t> </w:t>
      </w:r>
      <w:r w:rsidRPr="009521CE">
        <w:rPr>
          <w:b/>
          <w:bCs/>
        </w:rPr>
        <w:t>80%</w:t>
      </w:r>
      <w:r w:rsidRPr="009521CE">
        <w:t> at </w:t>
      </w:r>
      <w:r w:rsidRPr="009521CE">
        <w:rPr>
          <w:b/>
          <w:bCs/>
        </w:rPr>
        <w:t>α = 0.05</w:t>
      </w:r>
      <w:r w:rsidRPr="009521CE">
        <w:t> (two-tailed).</w:t>
      </w:r>
    </w:p>
    <w:p w14:paraId="268771E5" w14:textId="77777777" w:rsidR="009521CE" w:rsidRPr="009521CE" w:rsidRDefault="009521CE" w:rsidP="009521CE">
      <w:r w:rsidRPr="009521CE">
        <w:rPr>
          <w:b/>
          <w:bCs/>
        </w:rPr>
        <w:t>Sample Size Calculation:</w:t>
      </w:r>
    </w:p>
    <w:p w14:paraId="3529132B" w14:textId="77777777" w:rsidR="009521CE" w:rsidRPr="009521CE" w:rsidRDefault="009521CE" w:rsidP="009521CE">
      <w:pPr>
        <w:numPr>
          <w:ilvl w:val="0"/>
          <w:numId w:val="7"/>
        </w:numPr>
      </w:pPr>
      <w:r w:rsidRPr="009521CE">
        <w:rPr>
          <w:b/>
          <w:bCs/>
        </w:rPr>
        <w:t>5 FMT groups × 20 participants = 100 mice</w:t>
      </w:r>
      <w:r w:rsidRPr="009521CE">
        <w:t> (20 mice/group, 5 donors/group).</w:t>
      </w:r>
    </w:p>
    <w:p w14:paraId="03D11C36" w14:textId="77777777" w:rsidR="009521CE" w:rsidRPr="009521CE" w:rsidRDefault="009521CE" w:rsidP="009521CE">
      <w:pPr>
        <w:numPr>
          <w:ilvl w:val="1"/>
          <w:numId w:val="7"/>
        </w:numPr>
      </w:pPr>
      <w:r w:rsidRPr="009521CE">
        <w:rPr>
          <w:b/>
          <w:bCs/>
        </w:rPr>
        <w:t>Mixed-effects model</w:t>
      </w:r>
      <w:r w:rsidRPr="009521CE">
        <w:t> (accounting for donor variability) shows:</w:t>
      </w:r>
    </w:p>
    <w:p w14:paraId="0833F0F4" w14:textId="77777777" w:rsidR="009521CE" w:rsidRPr="009521CE" w:rsidRDefault="009521CE" w:rsidP="009521CE">
      <w:pPr>
        <w:numPr>
          <w:ilvl w:val="2"/>
          <w:numId w:val="7"/>
        </w:numPr>
      </w:pPr>
      <w:r w:rsidRPr="009521CE">
        <w:rPr>
          <w:b/>
          <w:bCs/>
        </w:rPr>
        <w:t>&gt;80% power</w:t>
      </w:r>
      <w:r w:rsidRPr="009521CE">
        <w:t> to detect a </w:t>
      </w:r>
      <w:r w:rsidRPr="009521CE">
        <w:rPr>
          <w:b/>
          <w:bCs/>
        </w:rPr>
        <w:t>40% reduction</w:t>
      </w:r>
      <w:r w:rsidRPr="009521CE">
        <w:t> in tumor volume (SD = 25%).</w:t>
      </w:r>
    </w:p>
    <w:p w14:paraId="4BAF6FFF" w14:textId="77777777" w:rsidR="009521CE" w:rsidRPr="009521CE" w:rsidRDefault="009521CE" w:rsidP="009521CE">
      <w:pPr>
        <w:numPr>
          <w:ilvl w:val="2"/>
          <w:numId w:val="7"/>
        </w:numPr>
      </w:pPr>
      <w:r w:rsidRPr="009521CE">
        <w:rPr>
          <w:b/>
          <w:bCs/>
        </w:rPr>
        <w:t>Sensitivity analysis:</w:t>
      </w:r>
      <w:r w:rsidRPr="009521CE">
        <w:t> If effect size = 30%, power drops to </w:t>
      </w:r>
      <w:r w:rsidRPr="009521CE">
        <w:rPr>
          <w:b/>
          <w:bCs/>
        </w:rPr>
        <w:t>~70%</w:t>
      </w:r>
      <w:r w:rsidRPr="009521CE">
        <w:t>; thus, we prioritize microbiome as the more stringent endpoint.</w:t>
      </w:r>
    </w:p>
    <w:p w14:paraId="24685BAF" w14:textId="77777777" w:rsidR="009521CE" w:rsidRPr="009521CE" w:rsidRDefault="009521CE" w:rsidP="009521CE">
      <w:r w:rsidRPr="009521CE">
        <w:pict w14:anchorId="20084FA3">
          <v:rect id="_x0000_i1044" style="width:0;height:.75pt" o:hralign="center" o:hrstd="t" o:hrnoshade="t" o:hr="t" fillcolor="#404040" stroked="f"/>
        </w:pict>
      </w:r>
    </w:p>
    <w:p w14:paraId="52921E71" w14:textId="77777777" w:rsidR="009521CE" w:rsidRPr="009521CE" w:rsidRDefault="009521CE" w:rsidP="009521CE">
      <w:pPr>
        <w:rPr>
          <w:b/>
          <w:bCs/>
        </w:rPr>
      </w:pPr>
      <w:r w:rsidRPr="009521CE">
        <w:rPr>
          <w:b/>
          <w:bCs/>
        </w:rPr>
        <w:t>Operating Characteristics (Power vs. Effect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3"/>
        <w:gridCol w:w="1178"/>
        <w:gridCol w:w="1419"/>
        <w:gridCol w:w="2912"/>
      </w:tblGrid>
      <w:tr w:rsidR="009521CE" w:rsidRPr="009521CE" w14:paraId="70CEAEF7" w14:textId="77777777" w:rsidTr="009521CE">
        <w:trPr>
          <w:tblHeader/>
        </w:trPr>
        <w:tc>
          <w:tcPr>
            <w:tcW w:w="0" w:type="auto"/>
            <w:tcMar>
              <w:top w:w="15" w:type="dxa"/>
              <w:left w:w="0" w:type="dxa"/>
              <w:bottom w:w="15" w:type="dxa"/>
              <w:right w:w="15" w:type="dxa"/>
            </w:tcMar>
            <w:vAlign w:val="center"/>
            <w:hideMark/>
          </w:tcPr>
          <w:p w14:paraId="4AA6B509" w14:textId="77777777" w:rsidR="009521CE" w:rsidRPr="009521CE" w:rsidRDefault="009521CE" w:rsidP="009521CE">
            <w:pPr>
              <w:rPr>
                <w:b/>
                <w:bCs/>
              </w:rPr>
            </w:pPr>
            <w:r w:rsidRPr="009521CE">
              <w:rPr>
                <w:b/>
                <w:bCs/>
              </w:rPr>
              <w:t>Endpoint</w:t>
            </w:r>
          </w:p>
        </w:tc>
        <w:tc>
          <w:tcPr>
            <w:tcW w:w="0" w:type="auto"/>
            <w:vAlign w:val="center"/>
            <w:hideMark/>
          </w:tcPr>
          <w:p w14:paraId="787BE7E4" w14:textId="77777777" w:rsidR="009521CE" w:rsidRPr="009521CE" w:rsidRDefault="009521CE" w:rsidP="009521CE">
            <w:pPr>
              <w:rPr>
                <w:b/>
                <w:bCs/>
              </w:rPr>
            </w:pPr>
            <w:r w:rsidRPr="009521CE">
              <w:rPr>
                <w:b/>
                <w:bCs/>
              </w:rPr>
              <w:t>Effect Size</w:t>
            </w:r>
          </w:p>
        </w:tc>
        <w:tc>
          <w:tcPr>
            <w:tcW w:w="0" w:type="auto"/>
            <w:vAlign w:val="center"/>
            <w:hideMark/>
          </w:tcPr>
          <w:p w14:paraId="447C1CED" w14:textId="77777777" w:rsidR="009521CE" w:rsidRPr="009521CE" w:rsidRDefault="009521CE" w:rsidP="009521CE">
            <w:pPr>
              <w:rPr>
                <w:b/>
                <w:bCs/>
              </w:rPr>
            </w:pPr>
            <w:r w:rsidRPr="009521CE">
              <w:rPr>
                <w:b/>
                <w:bCs/>
              </w:rPr>
              <w:t>Power (n=20)</w:t>
            </w:r>
          </w:p>
        </w:tc>
        <w:tc>
          <w:tcPr>
            <w:tcW w:w="0" w:type="auto"/>
            <w:vAlign w:val="center"/>
            <w:hideMark/>
          </w:tcPr>
          <w:p w14:paraId="686E76C1" w14:textId="77777777" w:rsidR="009521CE" w:rsidRPr="009521CE" w:rsidRDefault="009521CE" w:rsidP="009521CE">
            <w:pPr>
              <w:rPr>
                <w:b/>
                <w:bCs/>
              </w:rPr>
            </w:pPr>
            <w:r w:rsidRPr="009521CE">
              <w:rPr>
                <w:b/>
                <w:bCs/>
              </w:rPr>
              <w:t>Power (n=16, 20% dropout)</w:t>
            </w:r>
          </w:p>
        </w:tc>
      </w:tr>
      <w:tr w:rsidR="009521CE" w:rsidRPr="009521CE" w14:paraId="06EDA96C" w14:textId="77777777" w:rsidTr="009521CE">
        <w:tc>
          <w:tcPr>
            <w:tcW w:w="0" w:type="auto"/>
            <w:tcMar>
              <w:top w:w="15" w:type="dxa"/>
              <w:left w:w="0" w:type="dxa"/>
              <w:bottom w:w="15" w:type="dxa"/>
              <w:right w:w="15" w:type="dxa"/>
            </w:tcMar>
            <w:vAlign w:val="center"/>
            <w:hideMark/>
          </w:tcPr>
          <w:p w14:paraId="441B264D" w14:textId="77777777" w:rsidR="009521CE" w:rsidRPr="009521CE" w:rsidRDefault="009521CE" w:rsidP="009521CE">
            <w:r w:rsidRPr="009521CE">
              <w:rPr>
                <w:b/>
                <w:bCs/>
              </w:rPr>
              <w:t>Microbiome Shift</w:t>
            </w:r>
          </w:p>
        </w:tc>
        <w:tc>
          <w:tcPr>
            <w:tcW w:w="0" w:type="auto"/>
            <w:vAlign w:val="center"/>
            <w:hideMark/>
          </w:tcPr>
          <w:p w14:paraId="60993974" w14:textId="77777777" w:rsidR="009521CE" w:rsidRPr="009521CE" w:rsidRDefault="009521CE" w:rsidP="00E701B1">
            <w:pPr>
              <w:jc w:val="center"/>
            </w:pPr>
            <w:r w:rsidRPr="009521CE">
              <w:rPr>
                <w:i/>
                <w:iCs/>
              </w:rPr>
              <w:t>d</w:t>
            </w:r>
            <w:r w:rsidRPr="009521CE">
              <w:t> = 0.5</w:t>
            </w:r>
          </w:p>
        </w:tc>
        <w:tc>
          <w:tcPr>
            <w:tcW w:w="0" w:type="auto"/>
            <w:vAlign w:val="center"/>
            <w:hideMark/>
          </w:tcPr>
          <w:p w14:paraId="713DFD0A" w14:textId="77777777" w:rsidR="009521CE" w:rsidRPr="009521CE" w:rsidRDefault="009521CE" w:rsidP="00E701B1">
            <w:pPr>
              <w:jc w:val="center"/>
            </w:pPr>
            <w:r w:rsidRPr="009521CE">
              <w:t>65%</w:t>
            </w:r>
          </w:p>
        </w:tc>
        <w:tc>
          <w:tcPr>
            <w:tcW w:w="0" w:type="auto"/>
            <w:vAlign w:val="center"/>
            <w:hideMark/>
          </w:tcPr>
          <w:p w14:paraId="72216A08" w14:textId="77777777" w:rsidR="009521CE" w:rsidRPr="009521CE" w:rsidRDefault="009521CE" w:rsidP="009521CE">
            <w:r w:rsidRPr="009521CE">
              <w:t>55%</w:t>
            </w:r>
          </w:p>
        </w:tc>
      </w:tr>
      <w:tr w:rsidR="009521CE" w:rsidRPr="009521CE" w14:paraId="75C541E3" w14:textId="77777777" w:rsidTr="009521CE">
        <w:tc>
          <w:tcPr>
            <w:tcW w:w="0" w:type="auto"/>
            <w:tcMar>
              <w:top w:w="15" w:type="dxa"/>
              <w:left w:w="0" w:type="dxa"/>
              <w:bottom w:w="15" w:type="dxa"/>
              <w:right w:w="15" w:type="dxa"/>
            </w:tcMar>
            <w:vAlign w:val="center"/>
            <w:hideMark/>
          </w:tcPr>
          <w:p w14:paraId="66895917" w14:textId="77777777" w:rsidR="009521CE" w:rsidRPr="009521CE" w:rsidRDefault="009521CE" w:rsidP="009521CE"/>
        </w:tc>
        <w:tc>
          <w:tcPr>
            <w:tcW w:w="0" w:type="auto"/>
            <w:vAlign w:val="center"/>
            <w:hideMark/>
          </w:tcPr>
          <w:p w14:paraId="3E2BC4C9" w14:textId="77777777" w:rsidR="009521CE" w:rsidRPr="009521CE" w:rsidRDefault="009521CE" w:rsidP="00E701B1">
            <w:pPr>
              <w:jc w:val="center"/>
            </w:pPr>
            <w:r w:rsidRPr="009521CE">
              <w:rPr>
                <w:i/>
                <w:iCs/>
              </w:rPr>
              <w:t>d</w:t>
            </w:r>
            <w:r w:rsidRPr="009521CE">
              <w:t> = 0.7</w:t>
            </w:r>
          </w:p>
        </w:tc>
        <w:tc>
          <w:tcPr>
            <w:tcW w:w="0" w:type="auto"/>
            <w:vAlign w:val="center"/>
            <w:hideMark/>
          </w:tcPr>
          <w:p w14:paraId="30292F68" w14:textId="77777777" w:rsidR="009521CE" w:rsidRPr="009521CE" w:rsidRDefault="009521CE" w:rsidP="00E701B1">
            <w:pPr>
              <w:jc w:val="center"/>
            </w:pPr>
            <w:r w:rsidRPr="009521CE">
              <w:t>85%</w:t>
            </w:r>
          </w:p>
        </w:tc>
        <w:tc>
          <w:tcPr>
            <w:tcW w:w="0" w:type="auto"/>
            <w:vAlign w:val="center"/>
            <w:hideMark/>
          </w:tcPr>
          <w:p w14:paraId="370C8133" w14:textId="77777777" w:rsidR="009521CE" w:rsidRPr="009521CE" w:rsidRDefault="009521CE" w:rsidP="009521CE">
            <w:r w:rsidRPr="009521CE">
              <w:t>75%</w:t>
            </w:r>
          </w:p>
        </w:tc>
      </w:tr>
      <w:tr w:rsidR="009521CE" w:rsidRPr="009521CE" w14:paraId="2AD6573F" w14:textId="77777777" w:rsidTr="009521CE">
        <w:tc>
          <w:tcPr>
            <w:tcW w:w="0" w:type="auto"/>
            <w:tcMar>
              <w:top w:w="15" w:type="dxa"/>
              <w:left w:w="0" w:type="dxa"/>
              <w:bottom w:w="15" w:type="dxa"/>
              <w:right w:w="15" w:type="dxa"/>
            </w:tcMar>
            <w:vAlign w:val="center"/>
            <w:hideMark/>
          </w:tcPr>
          <w:p w14:paraId="2B7DA2CB" w14:textId="77777777" w:rsidR="009521CE" w:rsidRPr="009521CE" w:rsidRDefault="009521CE" w:rsidP="009521CE">
            <w:r w:rsidRPr="009521CE">
              <w:rPr>
                <w:b/>
                <w:bCs/>
              </w:rPr>
              <w:t>Tumor Growth Reduction</w:t>
            </w:r>
          </w:p>
        </w:tc>
        <w:tc>
          <w:tcPr>
            <w:tcW w:w="0" w:type="auto"/>
            <w:vAlign w:val="center"/>
            <w:hideMark/>
          </w:tcPr>
          <w:p w14:paraId="0DDB0D02" w14:textId="77777777" w:rsidR="009521CE" w:rsidRPr="009521CE" w:rsidRDefault="009521CE" w:rsidP="00E701B1">
            <w:pPr>
              <w:jc w:val="center"/>
            </w:pPr>
            <w:r w:rsidRPr="009521CE">
              <w:t>30%</w:t>
            </w:r>
          </w:p>
        </w:tc>
        <w:tc>
          <w:tcPr>
            <w:tcW w:w="0" w:type="auto"/>
            <w:vAlign w:val="center"/>
            <w:hideMark/>
          </w:tcPr>
          <w:p w14:paraId="278EAF3D" w14:textId="77777777" w:rsidR="009521CE" w:rsidRPr="009521CE" w:rsidRDefault="009521CE" w:rsidP="00E701B1">
            <w:pPr>
              <w:jc w:val="center"/>
            </w:pPr>
            <w:r w:rsidRPr="009521CE">
              <w:t>70%</w:t>
            </w:r>
          </w:p>
        </w:tc>
        <w:tc>
          <w:tcPr>
            <w:tcW w:w="0" w:type="auto"/>
            <w:vAlign w:val="center"/>
            <w:hideMark/>
          </w:tcPr>
          <w:p w14:paraId="27E582C4" w14:textId="77777777" w:rsidR="009521CE" w:rsidRPr="009521CE" w:rsidRDefault="009521CE" w:rsidP="009521CE">
            <w:r w:rsidRPr="009521CE">
              <w:t>60%</w:t>
            </w:r>
          </w:p>
        </w:tc>
      </w:tr>
      <w:tr w:rsidR="009521CE" w:rsidRPr="009521CE" w14:paraId="6F3467AD" w14:textId="77777777" w:rsidTr="009521CE">
        <w:tc>
          <w:tcPr>
            <w:tcW w:w="0" w:type="auto"/>
            <w:tcMar>
              <w:top w:w="15" w:type="dxa"/>
              <w:left w:w="0" w:type="dxa"/>
              <w:bottom w:w="15" w:type="dxa"/>
              <w:right w:w="15" w:type="dxa"/>
            </w:tcMar>
            <w:vAlign w:val="center"/>
            <w:hideMark/>
          </w:tcPr>
          <w:p w14:paraId="7BDDCEA5" w14:textId="77777777" w:rsidR="009521CE" w:rsidRPr="009521CE" w:rsidRDefault="009521CE" w:rsidP="009521CE"/>
        </w:tc>
        <w:tc>
          <w:tcPr>
            <w:tcW w:w="0" w:type="auto"/>
            <w:vAlign w:val="center"/>
            <w:hideMark/>
          </w:tcPr>
          <w:p w14:paraId="074D8A14" w14:textId="77777777" w:rsidR="009521CE" w:rsidRPr="009521CE" w:rsidRDefault="009521CE" w:rsidP="00E701B1">
            <w:pPr>
              <w:jc w:val="center"/>
            </w:pPr>
            <w:r w:rsidRPr="009521CE">
              <w:t>40%</w:t>
            </w:r>
          </w:p>
        </w:tc>
        <w:tc>
          <w:tcPr>
            <w:tcW w:w="0" w:type="auto"/>
            <w:vAlign w:val="center"/>
            <w:hideMark/>
          </w:tcPr>
          <w:p w14:paraId="44B6D7BD" w14:textId="77777777" w:rsidR="009521CE" w:rsidRPr="009521CE" w:rsidRDefault="009521CE" w:rsidP="00E701B1">
            <w:pPr>
              <w:jc w:val="center"/>
            </w:pPr>
            <w:r w:rsidRPr="009521CE">
              <w:t>85%</w:t>
            </w:r>
          </w:p>
        </w:tc>
        <w:tc>
          <w:tcPr>
            <w:tcW w:w="0" w:type="auto"/>
            <w:vAlign w:val="center"/>
            <w:hideMark/>
          </w:tcPr>
          <w:p w14:paraId="357F4986" w14:textId="77777777" w:rsidR="009521CE" w:rsidRPr="009521CE" w:rsidRDefault="009521CE" w:rsidP="009521CE">
            <w:r w:rsidRPr="009521CE">
              <w:t>75%</w:t>
            </w:r>
          </w:p>
        </w:tc>
      </w:tr>
    </w:tbl>
    <w:p w14:paraId="487A5B6C" w14:textId="77777777" w:rsidR="009521CE" w:rsidRPr="009521CE" w:rsidRDefault="009521CE" w:rsidP="009521CE">
      <w:r w:rsidRPr="009521CE">
        <w:pict w14:anchorId="79E3EC90">
          <v:rect id="_x0000_i1045" style="width:0;height:.75pt" o:hralign="center" o:hrstd="t" o:hrnoshade="t" o:hr="t" fillcolor="#404040" stroked="f"/>
        </w:pict>
      </w:r>
    </w:p>
    <w:p w14:paraId="19121694" w14:textId="77777777" w:rsidR="009521CE" w:rsidRPr="009521CE" w:rsidRDefault="009521CE" w:rsidP="009521CE">
      <w:pPr>
        <w:rPr>
          <w:b/>
          <w:bCs/>
        </w:rPr>
      </w:pPr>
      <w:r w:rsidRPr="009521CE">
        <w:rPr>
          <w:b/>
          <w:bCs/>
        </w:rPr>
        <w:t>Justification for Co-Primary Endpoints</w:t>
      </w:r>
    </w:p>
    <w:p w14:paraId="65F8E529" w14:textId="2E597E3E" w:rsidR="009521CE" w:rsidRPr="009521CE" w:rsidRDefault="009521CE" w:rsidP="009521CE">
      <w:pPr>
        <w:numPr>
          <w:ilvl w:val="0"/>
          <w:numId w:val="8"/>
        </w:numPr>
      </w:pPr>
      <w:r w:rsidRPr="009521CE">
        <w:t>The </w:t>
      </w:r>
      <w:r w:rsidRPr="009521CE">
        <w:rPr>
          <w:b/>
          <w:bCs/>
        </w:rPr>
        <w:t>microbiome endpoint</w:t>
      </w:r>
      <w:r w:rsidRPr="009521CE">
        <w:t> drives sample size (</w:t>
      </w:r>
      <w:r w:rsidRPr="009521CE">
        <w:rPr>
          <w:i/>
          <w:iCs/>
        </w:rPr>
        <w:t>n</w:t>
      </w:r>
      <w:r w:rsidRPr="009521CE">
        <w:t xml:space="preserve"> = 20) as it requires </w:t>
      </w:r>
      <w:r w:rsidR="00553CC2">
        <w:t xml:space="preserve">a </w:t>
      </w:r>
      <w:r w:rsidRPr="009521CE">
        <w:t>larger </w:t>
      </w:r>
      <w:r w:rsidRPr="009521CE">
        <w:rPr>
          <w:i/>
          <w:iCs/>
        </w:rPr>
        <w:t>n</w:t>
      </w:r>
      <w:r w:rsidRPr="009521CE">
        <w:t> to detect subtle shifts.</w:t>
      </w:r>
    </w:p>
    <w:p w14:paraId="187C34FB" w14:textId="77777777" w:rsidR="009521CE" w:rsidRPr="009521CE" w:rsidRDefault="009521CE" w:rsidP="009521CE">
      <w:pPr>
        <w:numPr>
          <w:ilvl w:val="0"/>
          <w:numId w:val="8"/>
        </w:numPr>
      </w:pPr>
      <w:r w:rsidRPr="009521CE">
        <w:t>The </w:t>
      </w:r>
      <w:r w:rsidRPr="009521CE">
        <w:rPr>
          <w:b/>
          <w:bCs/>
        </w:rPr>
        <w:t>FMT tumor endpoint</w:t>
      </w:r>
      <w:r w:rsidRPr="009521CE">
        <w:t> is supported by preclinical rigor (100 mice), ensuring </w:t>
      </w:r>
      <w:r w:rsidRPr="009521CE">
        <w:rPr>
          <w:b/>
          <w:bCs/>
        </w:rPr>
        <w:t>&gt;80% power</w:t>
      </w:r>
      <w:r w:rsidRPr="009521CE">
        <w:t> for the hypothesized effect.</w:t>
      </w:r>
    </w:p>
    <w:p w14:paraId="700947EA" w14:textId="77777777" w:rsidR="009521CE" w:rsidRPr="009521CE" w:rsidRDefault="009521CE" w:rsidP="009521CE">
      <w:pPr>
        <w:numPr>
          <w:ilvl w:val="0"/>
          <w:numId w:val="8"/>
        </w:numPr>
      </w:pPr>
      <w:r w:rsidRPr="009521CE">
        <w:rPr>
          <w:b/>
          <w:bCs/>
        </w:rPr>
        <w:t>Bonferroni correction</w:t>
      </w:r>
      <w:r w:rsidRPr="009521CE">
        <w:t> is applied for multiple comparisons (α = 0.025 per endpoint).</w:t>
      </w:r>
    </w:p>
    <w:p w14:paraId="334613F1" w14:textId="77777777" w:rsidR="00B40483" w:rsidRDefault="00B40483"/>
    <w:p w14:paraId="125E2140" w14:textId="77777777" w:rsidR="009521CE" w:rsidRDefault="009521CE"/>
    <w:p w14:paraId="4DC416BD" w14:textId="221C5A67" w:rsidR="009521CE" w:rsidRDefault="009521CE">
      <w:r>
        <w:lastRenderedPageBreak/>
        <w:t xml:space="preserve">Reference </w:t>
      </w:r>
    </w:p>
    <w:p w14:paraId="1FF75D3A" w14:textId="64319754" w:rsidR="009521CE" w:rsidRPr="009521CE" w:rsidRDefault="009521CE" w:rsidP="009521CE">
      <w:pPr>
        <w:widowControl w:val="0"/>
        <w:autoSpaceDE w:val="0"/>
        <w:autoSpaceDN w:val="0"/>
        <w:adjustRightInd w:val="0"/>
        <w:spacing w:line="240" w:lineRule="auto"/>
        <w:ind w:left="640" w:hanging="640"/>
        <w:rPr>
          <w:rFonts w:ascii="Aptos" w:hAnsi="Aptos" w:cs="Times New Roman"/>
          <w:noProof/>
          <w:kern w:val="0"/>
        </w:rPr>
      </w:pPr>
      <w:r>
        <w:fldChar w:fldCharType="begin" w:fldLock="1"/>
      </w:r>
      <w:r>
        <w:instrText xml:space="preserve">ADDIN Mendeley Bibliography CSL_BIBLIOGRAPHY </w:instrText>
      </w:r>
      <w:r>
        <w:fldChar w:fldCharType="separate"/>
      </w:r>
      <w:r w:rsidRPr="009521CE">
        <w:rPr>
          <w:rFonts w:ascii="Aptos" w:hAnsi="Aptos" w:cs="Times New Roman"/>
          <w:noProof/>
          <w:kern w:val="0"/>
        </w:rPr>
        <w:t>[1]</w:t>
      </w:r>
      <w:r w:rsidRPr="009521CE">
        <w:rPr>
          <w:rFonts w:ascii="Aptos" w:hAnsi="Aptos" w:cs="Times New Roman"/>
          <w:noProof/>
          <w:kern w:val="0"/>
        </w:rPr>
        <w:tab/>
        <w:t>D. Zeevi, T. Korem, N. Zmora, D. Israeli, D. Rothschild, A. Weinberger, O. Ben-Yacov, D. Lador, T. Avnit-Sagi, M. Lotan-Pompan, J. Suez, J.A. Mahdi, E. Matot, G. Malka, N. Kosower, M. Rein, G. Zilberman-Schapira, L. Dohnalová, M. Pevsner-Fischer, R. Bikovsky, Z. Halpern, E. Elinav, E. Segal, Personalized Nutrition by Prediction of Glycemic Responses, Cell 163 (2015) 1079–1094. https://doi.org/10.1016/J.CELL.2015.11.001.</w:t>
      </w:r>
    </w:p>
    <w:p w14:paraId="6FC04F09" w14:textId="77777777" w:rsidR="009521CE" w:rsidRPr="009521CE" w:rsidRDefault="009521CE" w:rsidP="009521CE">
      <w:pPr>
        <w:widowControl w:val="0"/>
        <w:autoSpaceDE w:val="0"/>
        <w:autoSpaceDN w:val="0"/>
        <w:adjustRightInd w:val="0"/>
        <w:spacing w:line="240" w:lineRule="auto"/>
        <w:ind w:left="640" w:hanging="640"/>
        <w:rPr>
          <w:rFonts w:ascii="Aptos" w:hAnsi="Aptos" w:cs="Times New Roman"/>
          <w:noProof/>
          <w:kern w:val="0"/>
        </w:rPr>
      </w:pPr>
      <w:r w:rsidRPr="009521CE">
        <w:rPr>
          <w:rFonts w:ascii="Aptos" w:hAnsi="Aptos" w:cs="Times New Roman"/>
          <w:noProof/>
          <w:kern w:val="0"/>
        </w:rPr>
        <w:t>[2]</w:t>
      </w:r>
      <w:r w:rsidRPr="009521CE">
        <w:rPr>
          <w:rFonts w:ascii="Aptos" w:hAnsi="Aptos" w:cs="Times New Roman"/>
          <w:noProof/>
          <w:kern w:val="0"/>
        </w:rPr>
        <w:tab/>
        <w:t>J. Cohen, Statistical Power Analysis for the Behavioral Sciences, Stat. Power Anal. Behav. Sci. (2013). https://doi.org/10.4324/9780203771587/STATISTICAL-POWER-ANALYSIS-BEHAVIORAL-SCIENCES-JACOB-COHEN.</w:t>
      </w:r>
    </w:p>
    <w:p w14:paraId="3FA50BB9" w14:textId="77777777" w:rsidR="009521CE" w:rsidRPr="009521CE" w:rsidRDefault="009521CE" w:rsidP="009521CE">
      <w:pPr>
        <w:widowControl w:val="0"/>
        <w:autoSpaceDE w:val="0"/>
        <w:autoSpaceDN w:val="0"/>
        <w:adjustRightInd w:val="0"/>
        <w:spacing w:line="240" w:lineRule="auto"/>
        <w:ind w:left="640" w:hanging="640"/>
        <w:rPr>
          <w:rFonts w:ascii="Aptos" w:hAnsi="Aptos" w:cs="Times New Roman"/>
          <w:noProof/>
          <w:kern w:val="0"/>
        </w:rPr>
      </w:pPr>
      <w:r w:rsidRPr="009521CE">
        <w:rPr>
          <w:rFonts w:ascii="Aptos" w:hAnsi="Aptos" w:cs="Times New Roman"/>
          <w:noProof/>
          <w:kern w:val="0"/>
        </w:rPr>
        <w:t>[3]</w:t>
      </w:r>
      <w:r w:rsidRPr="009521CE">
        <w:rPr>
          <w:rFonts w:ascii="Aptos" w:hAnsi="Aptos" w:cs="Times New Roman"/>
          <w:noProof/>
          <w:kern w:val="0"/>
        </w:rPr>
        <w:tab/>
        <w:t>F. Faul, E. Erdfelder, A.G. Lang, A. Buchner, G*Power 3: A flexible statistical power analysis program for the social, behavioral, and biomedical sciences, Behav. Res. Methods 39 (2007) 175–191. https://doi.org/10.3758/BF03193146/METRICS.</w:t>
      </w:r>
    </w:p>
    <w:p w14:paraId="39BF90FF" w14:textId="77777777" w:rsidR="009521CE" w:rsidRPr="009521CE" w:rsidRDefault="009521CE" w:rsidP="009521CE">
      <w:pPr>
        <w:widowControl w:val="0"/>
        <w:autoSpaceDE w:val="0"/>
        <w:autoSpaceDN w:val="0"/>
        <w:adjustRightInd w:val="0"/>
        <w:spacing w:line="240" w:lineRule="auto"/>
        <w:ind w:left="640" w:hanging="640"/>
        <w:rPr>
          <w:rFonts w:ascii="Aptos" w:hAnsi="Aptos"/>
          <w:noProof/>
        </w:rPr>
      </w:pPr>
      <w:r w:rsidRPr="009521CE">
        <w:rPr>
          <w:rFonts w:ascii="Aptos" w:hAnsi="Aptos" w:cs="Times New Roman"/>
          <w:noProof/>
          <w:kern w:val="0"/>
        </w:rPr>
        <w:t>[4]</w:t>
      </w:r>
      <w:r w:rsidRPr="009521CE">
        <w:rPr>
          <w:rFonts w:ascii="Aptos" w:hAnsi="Aptos" w:cs="Times New Roman"/>
          <w:noProof/>
          <w:kern w:val="0"/>
        </w:rPr>
        <w:tab/>
        <w:t>B. Routy, E. Le Chatelier, L. Derosa, C.P.M. Duong, M.T. Alou, R. Daillère, A. Fluckiger, M. Messaoudene, C. Rauber, M.P. Roberti, M. Fidelle, C. Flament, V. Poirier-Colame, P. Opolon, C. Klein, K. Iribarren, L. Mondragón, N. Jacquelot, B. Qu, G. Ferrere, C. Clémenson, L. Mezquita, J.R. Masip, C. Naltet, S. Brosseau, C. Kaderbhai, C. Richard, H. Rizvi, F. Levenez, N. Galleron, B. Quinquis, N. Pons, B. Ryffel, V. Minard-Colin, P. Gonin, J.C. Soria, E. Deutsch, Y. Loriot, F. Ghiringhelli, G. Zalcman, F. Goldwasser, B. Escudier, M.D. Hellmann, A. Eggermont, D. Raoult, L. Albiges, G. Kroemer, L. Zitvogel, Gut microbiome influences efficacy of PD-1-based immunotherapy against epithelial tumors, Science (80-. ). 359 (2018) 91–97. https://doi.org/10.1126/SCIENCE.AAN3706/SUPPL_FILE/AAN3706_ROUTY_SM.PDF.</w:t>
      </w:r>
    </w:p>
    <w:p w14:paraId="032D0D0F" w14:textId="62BC12FE" w:rsidR="009521CE" w:rsidRDefault="009521CE">
      <w:r>
        <w:fldChar w:fldCharType="end"/>
      </w:r>
    </w:p>
    <w:p w14:paraId="2B4B8942" w14:textId="77777777" w:rsidR="009521CE" w:rsidRDefault="009521CE"/>
    <w:p w14:paraId="47D72CCD" w14:textId="77777777" w:rsidR="009521CE" w:rsidRDefault="009521CE"/>
    <w:p w14:paraId="0A28B7AD" w14:textId="77777777" w:rsidR="009521CE" w:rsidRDefault="009521CE"/>
    <w:p w14:paraId="46C027A4" w14:textId="77777777" w:rsidR="009521CE" w:rsidRDefault="009521CE"/>
    <w:p w14:paraId="0AA0DA9F" w14:textId="77777777" w:rsidR="009521CE" w:rsidRDefault="009521CE"/>
    <w:p w14:paraId="234BC334" w14:textId="77777777" w:rsidR="009521CE" w:rsidRDefault="009521CE"/>
    <w:p w14:paraId="2270FDC2" w14:textId="77777777" w:rsidR="009521CE" w:rsidRDefault="009521CE"/>
    <w:p w14:paraId="665AA9F5" w14:textId="77777777" w:rsidR="009521CE" w:rsidRDefault="009521CE"/>
    <w:p w14:paraId="3AE10CE0" w14:textId="77777777" w:rsidR="009521CE" w:rsidRDefault="009521CE"/>
    <w:p w14:paraId="302F1F83" w14:textId="77777777" w:rsidR="009521CE" w:rsidRDefault="009521CE"/>
    <w:p w14:paraId="05C6CDE4" w14:textId="1EF9C7EB" w:rsidR="009521CE" w:rsidRPr="009521CE" w:rsidRDefault="009521CE">
      <w:pPr>
        <w:rPr>
          <w:b/>
          <w:bCs/>
          <w:sz w:val="42"/>
          <w:szCs w:val="42"/>
        </w:rPr>
      </w:pPr>
      <w:r w:rsidRPr="009521CE">
        <w:rPr>
          <w:b/>
          <w:bCs/>
          <w:sz w:val="42"/>
          <w:szCs w:val="42"/>
        </w:rPr>
        <w:lastRenderedPageBreak/>
        <w:t xml:space="preserve">Mathematically Calculation </w:t>
      </w:r>
    </w:p>
    <w:p w14:paraId="392913A4" w14:textId="77777777" w:rsidR="009521CE" w:rsidRPr="009521CE" w:rsidRDefault="009521CE" w:rsidP="009521CE">
      <w:pPr>
        <w:rPr>
          <w:b/>
          <w:bCs/>
        </w:rPr>
      </w:pPr>
      <w:r w:rsidRPr="009521CE">
        <w:rPr>
          <w:b/>
          <w:bCs/>
        </w:rPr>
        <w:t>1. Sample Size for Gut Microbiome Changes</w:t>
      </w:r>
    </w:p>
    <w:p w14:paraId="77E33F96" w14:textId="77777777" w:rsidR="009521CE" w:rsidRPr="009521CE" w:rsidRDefault="009521CE" w:rsidP="009521CE">
      <w:r w:rsidRPr="009521CE">
        <w:rPr>
          <w:b/>
          <w:bCs/>
        </w:rPr>
        <w:t>Statistical Test:</w:t>
      </w:r>
      <w:r w:rsidRPr="009521CE">
        <w:t> Paired </w:t>
      </w:r>
      <w:r w:rsidRPr="009521CE">
        <w:rPr>
          <w:i/>
          <w:iCs/>
        </w:rPr>
        <w:t>t</w:t>
      </w:r>
      <w:r w:rsidRPr="009521CE">
        <w:t>-test (within-subject comparisons across interventions)</w:t>
      </w:r>
      <w:r w:rsidRPr="009521CE">
        <w:br/>
      </w:r>
      <w:r w:rsidRPr="009521CE">
        <w:rPr>
          <w:b/>
          <w:bCs/>
        </w:rPr>
        <w:t>Primary Metric:</w:t>
      </w:r>
      <w:r w:rsidRPr="009521CE">
        <w:t> Detect shifts in microbial diversity (e.g., Shannon index) or SCFA levels.</w:t>
      </w:r>
    </w:p>
    <w:p w14:paraId="640B427E" w14:textId="77777777" w:rsidR="009521CE" w:rsidRPr="009521CE" w:rsidRDefault="009521CE" w:rsidP="009521CE">
      <w:pPr>
        <w:rPr>
          <w:b/>
          <w:bCs/>
        </w:rPr>
      </w:pPr>
      <w:r w:rsidRPr="009521CE">
        <w:rPr>
          <w:b/>
          <w:bCs/>
        </w:rPr>
        <w:t>Equation for Sample Size Calculation:</w:t>
      </w:r>
    </w:p>
    <w:p w14:paraId="1F02D649" w14:textId="25FA9F77" w:rsidR="009521CE" w:rsidRDefault="009521CE" w:rsidP="009521CE">
      <w:r w:rsidRPr="009521CE">
        <w:t>The sample size </w:t>
      </w:r>
      <w:r>
        <w:t>n</w:t>
      </w:r>
      <w:r w:rsidRPr="009521CE">
        <w:t> per group for a paired </w:t>
      </w:r>
      <w:r w:rsidRPr="009521CE">
        <w:rPr>
          <w:i/>
          <w:iCs/>
        </w:rPr>
        <w:t>t</w:t>
      </w:r>
      <w:r w:rsidRPr="009521CE">
        <w:t>-test is:</w:t>
      </w:r>
    </w:p>
    <w:p w14:paraId="14BF1F24" w14:textId="51A6DDA2" w:rsidR="009521CE" w:rsidRPr="009521CE" w:rsidRDefault="009521CE" w:rsidP="009521CE">
      <m:oMathPara>
        <m:oMath>
          <m:r>
            <w:rPr>
              <w:rFonts w:ascii="Cambria Math" w:hAnsi="Cambria Math" w:cs="Arial"/>
              <w:sz w:val="28"/>
              <w:szCs w:val="28"/>
            </w:rPr>
            <m:t xml:space="preserve">n= </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1-α/2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1-β</m:t>
                      </m:r>
                    </m:sub>
                  </m:sSub>
                  <m:r>
                    <w:rPr>
                      <w:rFonts w:ascii="Cambria Math" w:hAnsi="Cambria Math" w:cs="Arial"/>
                      <w:sz w:val="28"/>
                      <w:szCs w:val="28"/>
                    </w:rPr>
                    <m:t>)</m:t>
                  </m:r>
                </m:e>
                <m:sup>
                  <m:r>
                    <w:rPr>
                      <w:rFonts w:ascii="Cambria Math" w:hAnsi="Cambria Math" w:cs="Arial"/>
                      <w:sz w:val="28"/>
                      <w:szCs w:val="28"/>
                    </w:rPr>
                    <m:t>2</m:t>
                  </m:r>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d</m:t>
                  </m:r>
                </m:sub>
                <m:sup>
                  <m:r>
                    <w:rPr>
                      <w:rFonts w:ascii="Cambria Math" w:hAnsi="Cambria Math" w:cs="Arial"/>
                      <w:sz w:val="28"/>
                      <w:szCs w:val="28"/>
                    </w:rPr>
                    <m:t>2</m:t>
                  </m:r>
                </m:sup>
              </m:sSubSup>
            </m:num>
            <m:den>
              <m:sSup>
                <m:sSupPr>
                  <m:ctrlPr>
                    <w:rPr>
                      <w:rFonts w:ascii="Cambria Math" w:hAnsi="Cambria Math" w:cs="Arial"/>
                      <w:i/>
                      <w:sz w:val="28"/>
                      <w:szCs w:val="28"/>
                    </w:rPr>
                  </m:ctrlPr>
                </m:sSupPr>
                <m:e>
                  <m:r>
                    <w:rPr>
                      <w:rFonts w:ascii="Cambria Math" w:hAnsi="Cambria Math" w:cs="Arial"/>
                      <w:sz w:val="28"/>
                      <w:szCs w:val="28"/>
                    </w:rPr>
                    <m:t>∆</m:t>
                  </m:r>
                </m:e>
                <m:sup>
                  <m:r>
                    <w:rPr>
                      <w:rFonts w:ascii="Cambria Math" w:hAnsi="Cambria Math" w:cs="Arial"/>
                      <w:sz w:val="28"/>
                      <w:szCs w:val="28"/>
                    </w:rPr>
                    <m:t>2</m:t>
                  </m:r>
                </m:sup>
              </m:sSup>
            </m:den>
          </m:f>
        </m:oMath>
      </m:oMathPara>
    </w:p>
    <w:p w14:paraId="1019667A" w14:textId="77777777" w:rsidR="009521CE" w:rsidRPr="009521CE" w:rsidRDefault="009521CE" w:rsidP="009521CE">
      <w:r w:rsidRPr="009521CE">
        <w:rPr>
          <w:b/>
          <w:bCs/>
        </w:rPr>
        <w:t>Where:</w:t>
      </w:r>
    </w:p>
    <w:p w14:paraId="397D0813" w14:textId="48B4A9B4" w:rsidR="009521CE" w:rsidRPr="009521CE" w:rsidRDefault="004F7EE5" w:rsidP="009521CE">
      <w:pPr>
        <w:numPr>
          <w:ilvl w:val="0"/>
          <w:numId w:val="9"/>
        </w:numPr>
      </w:pP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1-α/2</m:t>
            </m:r>
          </m:sub>
        </m:sSub>
      </m:oMath>
      <w:r w:rsidR="009521CE" w:rsidRPr="009521CE">
        <w:t> = Z-value for </w:t>
      </w:r>
      <w:r w:rsidR="009521CE" w:rsidRPr="009521CE">
        <w:rPr>
          <w:b/>
          <w:bCs/>
        </w:rPr>
        <w:t>two-tailed significance level</w:t>
      </w:r>
      <w:r w:rsidR="009521CE" w:rsidRPr="009521CE">
        <w:t> (e.g., 1.96 for α = 0.05).</w:t>
      </w:r>
    </w:p>
    <w:p w14:paraId="0CAB8BC2" w14:textId="702F13DE" w:rsidR="009521CE" w:rsidRPr="009521CE" w:rsidRDefault="004F7EE5" w:rsidP="009521CE">
      <w:pPr>
        <w:numPr>
          <w:ilvl w:val="0"/>
          <w:numId w:val="9"/>
        </w:numPr>
      </w:pP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1-β</m:t>
            </m:r>
          </m:sub>
        </m:sSub>
      </m:oMath>
      <w:r w:rsidR="009521CE" w:rsidRPr="009521CE">
        <w:rPr>
          <w:rFonts w:ascii="Arial" w:hAnsi="Arial" w:cs="Arial"/>
        </w:rPr>
        <w:t>​</w:t>
      </w:r>
      <w:r w:rsidR="009521CE" w:rsidRPr="009521CE">
        <w:t> = Z-value for </w:t>
      </w:r>
      <w:r w:rsidR="009521CE" w:rsidRPr="009521CE">
        <w:rPr>
          <w:b/>
          <w:bCs/>
        </w:rPr>
        <w:t>power</w:t>
      </w:r>
      <w:r w:rsidR="009521CE" w:rsidRPr="009521CE">
        <w:t> (e.g., 0.84 for 80% power).</w:t>
      </w:r>
    </w:p>
    <w:p w14:paraId="2C1D5690" w14:textId="369AB0C5" w:rsidR="009521CE" w:rsidRPr="009521CE" w:rsidRDefault="004F7EE5" w:rsidP="009521CE">
      <w:pPr>
        <w:numPr>
          <w:ilvl w:val="0"/>
          <w:numId w:val="9"/>
        </w:numPr>
      </w:pPr>
      <m:oMath>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d</m:t>
            </m:r>
          </m:sub>
          <m:sup/>
        </m:sSubSup>
      </m:oMath>
      <w:r w:rsidR="009521CE" w:rsidRPr="009521CE">
        <w:rPr>
          <w:rFonts w:ascii="Arial" w:hAnsi="Arial" w:cs="Arial"/>
        </w:rPr>
        <w:t>​</w:t>
      </w:r>
      <w:r w:rsidR="009521CE" w:rsidRPr="009521CE">
        <w:t> = </w:t>
      </w:r>
      <w:r w:rsidR="009521CE" w:rsidRPr="009521CE">
        <w:rPr>
          <w:b/>
          <w:bCs/>
        </w:rPr>
        <w:t>Standard deviation of the paired differences</w:t>
      </w:r>
      <w:r w:rsidR="009521CE" w:rsidRPr="009521CE">
        <w:t> (from pilot data or literature).</w:t>
      </w:r>
    </w:p>
    <w:p w14:paraId="7C8E97EB" w14:textId="7C691331" w:rsidR="009521CE" w:rsidRPr="009521CE" w:rsidRDefault="004F7EE5" w:rsidP="009521CE">
      <w:pPr>
        <w:numPr>
          <w:ilvl w:val="0"/>
          <w:numId w:val="9"/>
        </w:numPr>
      </w:pPr>
      <m:oMath>
        <m:r>
          <w:rPr>
            <w:rFonts w:ascii="Cambria Math" w:hAnsi="Cambria Math" w:cs="Arial"/>
            <w:sz w:val="28"/>
            <w:szCs w:val="28"/>
          </w:rPr>
          <m:t>∆</m:t>
        </m:r>
      </m:oMath>
      <w:r w:rsidR="009521CE" w:rsidRPr="009521CE">
        <w:t> = </w:t>
      </w:r>
      <w:r w:rsidR="009521CE" w:rsidRPr="009521CE">
        <w:rPr>
          <w:b/>
          <w:bCs/>
        </w:rPr>
        <w:t>Clinically meaningful effect size</w:t>
      </w:r>
      <w:r w:rsidR="009521CE" w:rsidRPr="009521CE">
        <w:t> (e.g., 0.7 for Cohen’s </w:t>
      </w:r>
      <w:r w:rsidR="009521CE" w:rsidRPr="009521CE">
        <w:rPr>
          <w:i/>
          <w:iCs/>
        </w:rPr>
        <w:t>d</w:t>
      </w:r>
      <w:r w:rsidR="009521CE" w:rsidRPr="009521CE">
        <w:t>).</w:t>
      </w:r>
    </w:p>
    <w:p w14:paraId="056708C3" w14:textId="77777777" w:rsidR="009521CE" w:rsidRPr="009521CE" w:rsidRDefault="009521CE" w:rsidP="009521CE">
      <w:r w:rsidRPr="009521CE">
        <w:rPr>
          <w:b/>
          <w:bCs/>
        </w:rPr>
        <w:t>Plugging in Numbers:</w:t>
      </w:r>
    </w:p>
    <w:p w14:paraId="5CC7D404" w14:textId="360A6C17" w:rsidR="009521CE" w:rsidRPr="009521CE" w:rsidRDefault="009521CE" w:rsidP="009521CE">
      <w:pPr>
        <w:numPr>
          <w:ilvl w:val="0"/>
          <w:numId w:val="10"/>
        </w:numPr>
      </w:pPr>
      <w:r w:rsidRPr="009521CE">
        <w:t>For </w:t>
      </w:r>
      <w:r w:rsidRPr="009521CE">
        <w:rPr>
          <w:b/>
          <w:bCs/>
        </w:rPr>
        <w:t>Cohen’s </w:t>
      </w:r>
      <w:r w:rsidRPr="009521CE">
        <w:rPr>
          <w:b/>
          <w:bCs/>
          <w:i/>
          <w:iCs/>
        </w:rPr>
        <w:t>d</w:t>
      </w:r>
      <w:r w:rsidRPr="009521CE">
        <w:rPr>
          <w:b/>
          <w:bCs/>
        </w:rPr>
        <w:t> = 0.7</w:t>
      </w:r>
      <w:r w:rsidRPr="009521CE">
        <w:t> (moderate effect), Δ=0</w:t>
      </w:r>
      <w:r w:rsidR="004F7EE5">
        <w:t>.7</w:t>
      </w:r>
      <w:r w:rsidRPr="009521CE">
        <w:t>, </w:t>
      </w:r>
      <m:oMath>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d</m:t>
            </m:r>
          </m:sub>
          <m:sup/>
        </m:sSubSup>
        <m:r>
          <w:rPr>
            <w:rFonts w:ascii="Cambria Math" w:hAnsi="Cambria Math" w:cs="Arial"/>
            <w:sz w:val="28"/>
            <w:szCs w:val="28"/>
          </w:rPr>
          <m:t>=1</m:t>
        </m:r>
      </m:oMath>
      <w:r w:rsidRPr="009521CE">
        <w:t>(standardized).</w:t>
      </w:r>
    </w:p>
    <w:p w14:paraId="791D799D" w14:textId="553ABCBB" w:rsidR="009521CE" w:rsidRPr="009521CE" w:rsidRDefault="009521CE" w:rsidP="009521CE">
      <w:pPr>
        <w:numPr>
          <w:ilvl w:val="0"/>
          <w:numId w:val="10"/>
        </w:numPr>
      </w:pPr>
      <w:r w:rsidRPr="009521CE">
        <w:t>α=0.</w:t>
      </w:r>
      <w:r w:rsidR="004F7EE5">
        <w:t>05</w:t>
      </w:r>
      <w:r w:rsidRPr="009521CE">
        <w:t>, β=0.20 (80% power):</w:t>
      </w:r>
    </w:p>
    <w:p w14:paraId="7ACF65E8" w14:textId="7F009F54" w:rsidR="009521CE" w:rsidRPr="009521CE" w:rsidRDefault="004F7EE5" w:rsidP="004F7EE5">
      <w:pPr>
        <w:pStyle w:val="ListParagraph"/>
      </w:pPr>
      <m:oMath>
        <m:r>
          <w:rPr>
            <w:rFonts w:ascii="Cambria Math" w:hAnsi="Cambria Math" w:cs="Arial"/>
            <w:sz w:val="28"/>
            <w:szCs w:val="28"/>
          </w:rPr>
          <m:t xml:space="preserve">n= </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m:t>
                </m:r>
                <m:r>
                  <w:rPr>
                    <w:rFonts w:ascii="Cambria Math" w:hAnsi="Cambria Math" w:cs="Arial"/>
                    <w:sz w:val="28"/>
                    <w:szCs w:val="28"/>
                  </w:rPr>
                  <m:t>1.96+0.84</m:t>
                </m:r>
                <m:r>
                  <w:rPr>
                    <w:rFonts w:ascii="Cambria Math" w:hAnsi="Cambria Math" w:cs="Arial"/>
                    <w:sz w:val="28"/>
                    <w:szCs w:val="28"/>
                  </w:rPr>
                  <m:t>)</m:t>
                </m:r>
              </m:e>
              <m:sup>
                <m:r>
                  <w:rPr>
                    <w:rFonts w:ascii="Cambria Math" w:hAnsi="Cambria Math" w:cs="Arial"/>
                    <w:sz w:val="28"/>
                    <w:szCs w:val="28"/>
                  </w:rPr>
                  <m:t>2</m:t>
                </m:r>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1</m:t>
                </m:r>
              </m:e>
              <m:sub/>
              <m:sup>
                <m:r>
                  <w:rPr>
                    <w:rFonts w:ascii="Cambria Math" w:hAnsi="Cambria Math" w:cs="Arial"/>
                    <w:sz w:val="28"/>
                    <w:szCs w:val="28"/>
                  </w:rPr>
                  <m:t>2</m:t>
                </m:r>
              </m:sup>
            </m:sSubSup>
          </m:num>
          <m:den>
            <m:sSup>
              <m:sSupPr>
                <m:ctrlPr>
                  <w:rPr>
                    <w:rFonts w:ascii="Cambria Math" w:hAnsi="Cambria Math" w:cs="Arial"/>
                    <w:i/>
                    <w:sz w:val="28"/>
                    <w:szCs w:val="28"/>
                  </w:rPr>
                </m:ctrlPr>
              </m:sSupPr>
              <m:e>
                <m:r>
                  <w:rPr>
                    <w:rFonts w:ascii="Cambria Math" w:hAnsi="Cambria Math" w:cs="Arial"/>
                    <w:sz w:val="28"/>
                    <w:szCs w:val="28"/>
                  </w:rPr>
                  <m:t>0.7</m:t>
                </m:r>
              </m:e>
              <m:sup>
                <m:r>
                  <w:rPr>
                    <w:rFonts w:ascii="Cambria Math" w:hAnsi="Cambria Math" w:cs="Arial"/>
                    <w:sz w:val="28"/>
                    <w:szCs w:val="28"/>
                  </w:rPr>
                  <m:t>2</m:t>
                </m:r>
              </m:sup>
            </m:sSup>
          </m:den>
        </m:f>
      </m:oMath>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7.84</m:t>
            </m:r>
          </m:num>
          <m:den>
            <m:r>
              <w:rPr>
                <w:rFonts w:ascii="Cambria Math" w:eastAsiaTheme="minorEastAsia" w:hAnsi="Cambria Math"/>
                <w:sz w:val="28"/>
                <w:szCs w:val="28"/>
              </w:rPr>
              <m:t>0.49</m:t>
            </m:r>
          </m:den>
        </m:f>
      </m:oMath>
      <w:r>
        <w:rPr>
          <w:rFonts w:eastAsiaTheme="minorEastAsia"/>
          <w:sz w:val="28"/>
          <w:szCs w:val="28"/>
        </w:rPr>
        <w:t xml:space="preserve">  = </w:t>
      </w:r>
      <w:r w:rsidR="009521CE" w:rsidRPr="009521CE">
        <w:t>0.497.84</w:t>
      </w:r>
      <w:r>
        <w:t xml:space="preserve"> </w:t>
      </w:r>
      <w:r w:rsidR="009521CE" w:rsidRPr="009521CE">
        <w:rPr>
          <w:rFonts w:ascii="Arial" w:hAnsi="Arial" w:cs="Arial"/>
        </w:rPr>
        <w:t>​</w:t>
      </w:r>
      <w:r w:rsidR="009521CE" w:rsidRPr="009521CE">
        <w:t>≈</w:t>
      </w:r>
      <w:r>
        <w:t xml:space="preserve"> </w:t>
      </w:r>
      <w:r w:rsidR="009521CE" w:rsidRPr="009521CE">
        <w:rPr>
          <w:b/>
          <w:bCs/>
        </w:rPr>
        <w:t>16 participants per group</w:t>
      </w:r>
      <w:r w:rsidR="009521CE" w:rsidRPr="009521CE">
        <w:t>.</w:t>
      </w:r>
    </w:p>
    <w:p w14:paraId="01856873" w14:textId="77777777" w:rsidR="009521CE" w:rsidRPr="009521CE" w:rsidRDefault="009521CE" w:rsidP="009521CE">
      <w:r w:rsidRPr="009521CE">
        <w:rPr>
          <w:b/>
          <w:bCs/>
        </w:rPr>
        <w:t>Adjustments:</w:t>
      </w:r>
    </w:p>
    <w:p w14:paraId="7604BE4B" w14:textId="77777777" w:rsidR="009521CE" w:rsidRPr="009521CE" w:rsidRDefault="009521CE" w:rsidP="009521CE">
      <w:pPr>
        <w:numPr>
          <w:ilvl w:val="0"/>
          <w:numId w:val="11"/>
        </w:numPr>
      </w:pPr>
      <w:r w:rsidRPr="009521CE">
        <w:t>Accounting for </w:t>
      </w:r>
      <w:r w:rsidRPr="009521CE">
        <w:rPr>
          <w:b/>
          <w:bCs/>
        </w:rPr>
        <w:t>5 interventions</w:t>
      </w:r>
      <w:r w:rsidRPr="009521CE">
        <w:t> and repeated measures, we inflate by 20% (ICC ~0.3):</w:t>
      </w:r>
    </w:p>
    <w:p w14:paraId="2F053E22" w14:textId="7D902E7C" w:rsidR="009521CE" w:rsidRDefault="004F7EE5" w:rsidP="004F7EE5">
      <w:pPr>
        <w:jc w:val="center"/>
        <w:rPr>
          <w:b/>
          <w:bCs/>
        </w:rPr>
      </w:pPr>
      <m:oMath>
        <m:sSub>
          <m:sSubPr>
            <m:ctrlPr>
              <w:rPr>
                <w:rFonts w:ascii="Cambria Math" w:hAnsi="Cambria Math"/>
                <w:i/>
              </w:rPr>
            </m:ctrlPr>
          </m:sSubPr>
          <m:e>
            <m:r>
              <w:rPr>
                <w:rFonts w:ascii="Cambria Math" w:hAnsi="Cambria Math"/>
              </w:rPr>
              <m:t>n</m:t>
            </m:r>
          </m:e>
          <m:sub>
            <m:r>
              <w:rPr>
                <w:rFonts w:ascii="Cambria Math" w:hAnsi="Cambria Math"/>
              </w:rPr>
              <m:t>adjusted</m:t>
            </m:r>
          </m:sub>
        </m:sSub>
      </m:oMath>
      <w:r w:rsidR="009521CE" w:rsidRPr="009521CE">
        <w:t>=16×1.2</w:t>
      </w:r>
      <w:r>
        <w:t xml:space="preserve"> </w:t>
      </w:r>
      <w:r w:rsidR="009521CE" w:rsidRPr="009521CE">
        <w:t>≈</w:t>
      </w:r>
      <w:r>
        <w:t xml:space="preserve"> </w:t>
      </w:r>
      <w:r w:rsidR="009521CE" w:rsidRPr="009521CE">
        <w:rPr>
          <w:b/>
          <w:bCs/>
        </w:rPr>
        <w:t>20 </w:t>
      </w:r>
      <w:r w:rsidRPr="009521CE">
        <w:rPr>
          <w:b/>
          <w:bCs/>
        </w:rPr>
        <w:t>participant’s</w:t>
      </w:r>
      <w:r w:rsidR="009521CE" w:rsidRPr="009521CE">
        <w:rPr>
          <w:b/>
          <w:bCs/>
        </w:rPr>
        <w:t> total.</w:t>
      </w:r>
    </w:p>
    <w:p w14:paraId="7B3CEE35" w14:textId="77777777" w:rsidR="004F7EE5" w:rsidRDefault="004F7EE5" w:rsidP="004F7EE5">
      <w:pPr>
        <w:jc w:val="center"/>
        <w:rPr>
          <w:b/>
          <w:bCs/>
        </w:rPr>
      </w:pPr>
    </w:p>
    <w:p w14:paraId="5DD90794" w14:textId="77777777" w:rsidR="004F7EE5" w:rsidRDefault="004F7EE5" w:rsidP="004F7EE5">
      <w:pPr>
        <w:jc w:val="center"/>
        <w:rPr>
          <w:b/>
          <w:bCs/>
        </w:rPr>
      </w:pPr>
    </w:p>
    <w:p w14:paraId="4D144EFF" w14:textId="77777777" w:rsidR="004F7EE5" w:rsidRDefault="004F7EE5" w:rsidP="004F7EE5">
      <w:pPr>
        <w:jc w:val="center"/>
        <w:rPr>
          <w:b/>
          <w:bCs/>
        </w:rPr>
      </w:pPr>
    </w:p>
    <w:p w14:paraId="46A71B94" w14:textId="77777777" w:rsidR="004F7EE5" w:rsidRPr="009521CE" w:rsidRDefault="004F7EE5" w:rsidP="004F7EE5">
      <w:pPr>
        <w:jc w:val="center"/>
        <w:rPr>
          <w:b/>
          <w:bCs/>
        </w:rPr>
      </w:pPr>
    </w:p>
    <w:p w14:paraId="772D592B" w14:textId="77777777" w:rsidR="009521CE" w:rsidRPr="009521CE" w:rsidRDefault="009521CE" w:rsidP="009521CE">
      <w:r w:rsidRPr="009521CE">
        <w:lastRenderedPageBreak/>
        <w:pict w14:anchorId="41E6186A">
          <v:rect id="_x0000_i1073" style="width:0;height:.75pt" o:hralign="center" o:hrstd="t" o:hrnoshade="t" o:hr="t" fillcolor="#404040" stroked="f"/>
        </w:pict>
      </w:r>
    </w:p>
    <w:p w14:paraId="21C2B704" w14:textId="77777777" w:rsidR="009521CE" w:rsidRPr="009521CE" w:rsidRDefault="009521CE" w:rsidP="009521CE">
      <w:pPr>
        <w:rPr>
          <w:b/>
          <w:bCs/>
        </w:rPr>
      </w:pPr>
      <w:r w:rsidRPr="009521CE">
        <w:rPr>
          <w:b/>
          <w:bCs/>
        </w:rPr>
        <w:t>2. Sample Size for FMT Tumor Growth Reduction</w:t>
      </w:r>
    </w:p>
    <w:p w14:paraId="45F3D99D" w14:textId="77777777" w:rsidR="009521CE" w:rsidRPr="009521CE" w:rsidRDefault="009521CE" w:rsidP="009521CE">
      <w:r w:rsidRPr="009521CE">
        <w:rPr>
          <w:b/>
          <w:bCs/>
        </w:rPr>
        <w:t>Statistical Test:</w:t>
      </w:r>
      <w:r w:rsidRPr="009521CE">
        <w:t> Linear mixed model (LMM) for tumor volume in mice, accounting for donor variability.</w:t>
      </w:r>
      <w:r w:rsidRPr="009521CE">
        <w:br/>
      </w:r>
      <w:r w:rsidRPr="009521CE">
        <w:rPr>
          <w:b/>
          <w:bCs/>
        </w:rPr>
        <w:t>Primary Metric:</w:t>
      </w:r>
      <w:r w:rsidRPr="009521CE">
        <w:t> Detect 30–50% reduction in tumor volume post-FMT.</w:t>
      </w:r>
    </w:p>
    <w:p w14:paraId="36F0289D" w14:textId="77777777" w:rsidR="009521CE" w:rsidRPr="009521CE" w:rsidRDefault="009521CE" w:rsidP="009521CE">
      <w:pPr>
        <w:rPr>
          <w:b/>
          <w:bCs/>
        </w:rPr>
      </w:pPr>
      <w:r w:rsidRPr="009521CE">
        <w:rPr>
          <w:b/>
          <w:bCs/>
        </w:rPr>
        <w:t>Equation for Mixed-Effects Model:</w:t>
      </w:r>
    </w:p>
    <w:p w14:paraId="3652DAF0" w14:textId="77777777" w:rsidR="009521CE" w:rsidRPr="009521CE" w:rsidRDefault="009521CE" w:rsidP="009521CE">
      <w:r w:rsidRPr="009521CE">
        <w:t>Power depends on:</w:t>
      </w:r>
    </w:p>
    <w:p w14:paraId="23A6031A" w14:textId="334E6903" w:rsidR="009521CE" w:rsidRPr="009521CE" w:rsidRDefault="009521CE" w:rsidP="009521CE">
      <w:pPr>
        <w:numPr>
          <w:ilvl w:val="0"/>
          <w:numId w:val="12"/>
        </w:numPr>
      </w:pPr>
      <w:r w:rsidRPr="009521CE">
        <w:rPr>
          <w:b/>
          <w:bCs/>
        </w:rPr>
        <w:t>Between-donor variance</w:t>
      </w:r>
      <w:r w:rsidRPr="009521CE">
        <w:t> (</w:t>
      </w:r>
      <m:oMath>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d</m:t>
            </m:r>
            <m:r>
              <w:rPr>
                <w:rFonts w:ascii="Cambria Math" w:hAnsi="Cambria Math" w:cs="Arial"/>
                <w:sz w:val="28"/>
                <w:szCs w:val="28"/>
              </w:rPr>
              <m:t>onor</m:t>
            </m:r>
          </m:sub>
          <m:sup>
            <m:r>
              <w:rPr>
                <w:rFonts w:ascii="Cambria Math" w:hAnsi="Cambria Math" w:cs="Arial"/>
                <w:sz w:val="28"/>
                <w:szCs w:val="28"/>
              </w:rPr>
              <m:t>2</m:t>
            </m:r>
          </m:sup>
        </m:sSubSup>
      </m:oMath>
      <w:r w:rsidRPr="009521CE">
        <w:rPr>
          <w:rFonts w:ascii="Arial" w:hAnsi="Arial" w:cs="Arial"/>
        </w:rPr>
        <w:t>​</w:t>
      </w:r>
      <w:r w:rsidRPr="009521CE">
        <w:t>).</w:t>
      </w:r>
    </w:p>
    <w:p w14:paraId="32D1D516" w14:textId="02B98A0B" w:rsidR="009521CE" w:rsidRPr="009521CE" w:rsidRDefault="009521CE" w:rsidP="009521CE">
      <w:pPr>
        <w:numPr>
          <w:ilvl w:val="0"/>
          <w:numId w:val="12"/>
        </w:numPr>
      </w:pPr>
      <w:r w:rsidRPr="009521CE">
        <w:rPr>
          <w:b/>
          <w:bCs/>
        </w:rPr>
        <w:t>Within-donor variance</w:t>
      </w:r>
      <w:r w:rsidRPr="009521CE">
        <w:t> (</w:t>
      </w:r>
      <m:oMath>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error</m:t>
            </m:r>
          </m:sub>
          <m:sup>
            <m:r>
              <w:rPr>
                <w:rFonts w:ascii="Cambria Math" w:hAnsi="Cambria Math" w:cs="Arial"/>
                <w:sz w:val="28"/>
                <w:szCs w:val="28"/>
              </w:rPr>
              <m:t>2</m:t>
            </m:r>
          </m:sup>
        </m:sSubSup>
      </m:oMath>
      <w:r w:rsidRPr="009521CE">
        <w:rPr>
          <w:rFonts w:ascii="Arial" w:hAnsi="Arial" w:cs="Arial"/>
        </w:rPr>
        <w:t>​</w:t>
      </w:r>
      <w:r w:rsidRPr="009521CE">
        <w:t>).</w:t>
      </w:r>
    </w:p>
    <w:p w14:paraId="36E88243" w14:textId="63533AD9" w:rsidR="009521CE" w:rsidRPr="009521CE" w:rsidRDefault="009521CE" w:rsidP="009521CE">
      <w:r w:rsidRPr="009521CE">
        <w:rPr>
          <w:b/>
          <w:bCs/>
        </w:rPr>
        <w:t>Total variance</w:t>
      </w:r>
      <w:r w:rsidRPr="009521CE">
        <w:t> (</w:t>
      </w:r>
      <m:oMath>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total</m:t>
            </m:r>
          </m:sub>
          <m:sup>
            <m:r>
              <w:rPr>
                <w:rFonts w:ascii="Cambria Math" w:hAnsi="Cambria Math" w:cs="Arial"/>
                <w:sz w:val="28"/>
                <w:szCs w:val="28"/>
              </w:rPr>
              <m:t>2</m:t>
            </m:r>
          </m:sup>
        </m:sSubSup>
      </m:oMath>
      <w:r w:rsidRPr="009521CE">
        <w:rPr>
          <w:rFonts w:ascii="Arial" w:hAnsi="Arial" w:cs="Arial"/>
        </w:rPr>
        <w:t>​</w:t>
      </w:r>
      <w:r w:rsidRPr="009521CE">
        <w:t>):</w:t>
      </w:r>
    </w:p>
    <w:p w14:paraId="321A819D" w14:textId="20696E59" w:rsidR="004F7EE5" w:rsidRPr="004F7EE5" w:rsidRDefault="004F7EE5" w:rsidP="009521CE">
      <w:pPr>
        <w:rPr>
          <w:rFonts w:eastAsiaTheme="minorEastAsia"/>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total</m:t>
              </m:r>
            </m:sub>
            <m:sup>
              <m:r>
                <w:rPr>
                  <w:rFonts w:ascii="Cambria Math" w:hAnsi="Cambria Math" w:cs="Arial"/>
                  <w:sz w:val="28"/>
                  <w:szCs w:val="28"/>
                </w:rPr>
                <m:t>2</m:t>
              </m:r>
            </m:sup>
          </m:sSubSup>
          <m:r>
            <w:rPr>
              <w:rFonts w:ascii="Cambria Math" w:hAnsi="Cambria Math" w:cs="Arial"/>
              <w:sz w:val="28"/>
              <w:szCs w:val="28"/>
            </w:rPr>
            <m:t xml:space="preserve"> = </m:t>
          </m:r>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donor</m:t>
              </m:r>
            </m:sub>
            <m:sup>
              <m:r>
                <w:rPr>
                  <w:rFonts w:ascii="Cambria Math" w:hAnsi="Cambria Math" w:cs="Arial"/>
                  <w:sz w:val="28"/>
                  <w:szCs w:val="28"/>
                </w:rPr>
                <m:t>2</m:t>
              </m:r>
            </m:sup>
          </m:sSubSup>
          <m:r>
            <w:rPr>
              <w:rFonts w:ascii="Cambria Math" w:hAnsi="Cambria Math" w:cs="Arial"/>
              <w:sz w:val="28"/>
              <w:szCs w:val="28"/>
            </w:rPr>
            <m:t xml:space="preserve">+  </m:t>
          </m:r>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error</m:t>
              </m:r>
            </m:sub>
            <m:sup>
              <m:r>
                <w:rPr>
                  <w:rFonts w:ascii="Cambria Math" w:hAnsi="Cambria Math" w:cs="Arial"/>
                  <w:sz w:val="28"/>
                  <w:szCs w:val="28"/>
                </w:rPr>
                <m:t>2</m:t>
              </m:r>
            </m:sup>
          </m:sSubSup>
        </m:oMath>
      </m:oMathPara>
    </w:p>
    <w:p w14:paraId="19156FC9" w14:textId="338C8D6E" w:rsidR="009521CE" w:rsidRPr="009521CE" w:rsidRDefault="009521CE" w:rsidP="009521CE">
      <w:pPr>
        <w:rPr>
          <w:rFonts w:eastAsiaTheme="minorEastAsia"/>
        </w:rPr>
      </w:pPr>
      <w:r w:rsidRPr="009521CE">
        <w:rPr>
          <w:b/>
          <w:bCs/>
        </w:rPr>
        <w:t>Effect Size (Standardized):</w:t>
      </w:r>
    </w:p>
    <w:p w14:paraId="2C72F42F" w14:textId="568FDFD1" w:rsidR="004F7EE5" w:rsidRDefault="004F7EE5" w:rsidP="009521CE">
      <m:oMathPara>
        <m:oMath>
          <m:r>
            <w:rPr>
              <w:rFonts w:ascii="Cambria Math" w:hAnsi="Cambria Math"/>
            </w:rPr>
            <m:t xml:space="preserve">f= </m:t>
          </m:r>
          <m:f>
            <m:fPr>
              <m:ctrlPr>
                <w:rPr>
                  <w:rFonts w:ascii="Cambria Math" w:hAnsi="Cambria Math"/>
                  <w:i/>
                </w:rPr>
              </m:ctrlPr>
            </m:fPr>
            <m:num>
              <m:r>
                <w:rPr>
                  <w:rFonts w:ascii="Cambria Math" w:hAnsi="Cambria Math" w:cs="Arial"/>
                  <w:sz w:val="28"/>
                  <w:szCs w:val="28"/>
                </w:rPr>
                <m:t>∆</m:t>
              </m:r>
            </m:num>
            <m:den>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total</m:t>
                  </m:r>
                </m:sub>
                <m:sup/>
              </m:sSubSup>
            </m:den>
          </m:f>
        </m:oMath>
      </m:oMathPara>
    </w:p>
    <w:p w14:paraId="2B36C416" w14:textId="17B7E49F" w:rsidR="009521CE" w:rsidRPr="009521CE" w:rsidRDefault="009521CE" w:rsidP="009521CE">
      <w:r w:rsidRPr="009521CE">
        <w:t>Where </w:t>
      </w:r>
      <m:oMath>
        <m:r>
          <w:rPr>
            <w:rFonts w:ascii="Cambria Math" w:hAnsi="Cambria Math" w:cs="Arial"/>
            <w:sz w:val="28"/>
            <w:szCs w:val="28"/>
          </w:rPr>
          <m:t>∆</m:t>
        </m:r>
      </m:oMath>
      <w:r w:rsidRPr="009521CE">
        <w:t> = mean tumor reduction (e.g., 40%).</w:t>
      </w:r>
    </w:p>
    <w:p w14:paraId="6F0D42E7" w14:textId="77777777" w:rsidR="009521CE" w:rsidRPr="009521CE" w:rsidRDefault="009521CE" w:rsidP="009521CE">
      <w:r w:rsidRPr="009521CE">
        <w:rPr>
          <w:b/>
          <w:bCs/>
        </w:rPr>
        <w:t>Approximation for Mice per Group:</w:t>
      </w:r>
      <w:r w:rsidRPr="009521CE">
        <w:br/>
        <w:t>For 80% power to detect 40% reduction (SD = 25%):</w:t>
      </w:r>
    </w:p>
    <w:p w14:paraId="28AD8B0F" w14:textId="24BC83AF" w:rsidR="00E701B1" w:rsidRDefault="004F7EE5" w:rsidP="00E701B1">
      <w:pPr>
        <w:jc w:val="center"/>
      </w:pPr>
      <m:oMath>
        <m:sSub>
          <m:sSubPr>
            <m:ctrlPr>
              <w:rPr>
                <w:rFonts w:ascii="Cambria Math" w:hAnsi="Cambria Math"/>
                <w:i/>
                <w:iCs/>
              </w:rPr>
            </m:ctrlPr>
          </m:sSubPr>
          <m:e>
            <m:r>
              <w:rPr>
                <w:rFonts w:ascii="Cambria Math" w:hAnsi="Cambria Math"/>
              </w:rPr>
              <m:t>n</m:t>
            </m:r>
          </m:e>
          <m:sub>
            <m:r>
              <w:rPr>
                <w:rFonts w:ascii="Cambria Math" w:hAnsi="Cambria Math"/>
              </w:rPr>
              <m:t>mice</m:t>
            </m:r>
          </m:sub>
        </m:sSub>
        <m:r>
          <w:rPr>
            <w:rFonts w:ascii="Cambria Math" w:hAnsi="Cambria Math"/>
          </w:rPr>
          <m:t xml:space="preserve"> </m:t>
        </m:r>
      </m:oMath>
      <w:r w:rsidR="009521CE" w:rsidRPr="009521CE">
        <w:t>≈</w:t>
      </w:r>
      <w:r>
        <w:t xml:space="preserve"> </w:t>
      </w:r>
      <w:r w:rsidR="009521CE" w:rsidRPr="009521CE">
        <w:t>16 per group (from standard power equations for ANOVA</w:t>
      </w:r>
    </w:p>
    <w:p w14:paraId="4162C392" w14:textId="60CCB7A1" w:rsidR="009521CE" w:rsidRPr="009521CE" w:rsidRDefault="009521CE" w:rsidP="00E701B1">
      <w:r w:rsidRPr="009521CE">
        <w:rPr>
          <w:b/>
          <w:bCs/>
        </w:rPr>
        <w:t>Total Mice:</w:t>
      </w:r>
    </w:p>
    <w:p w14:paraId="04F586CB" w14:textId="77777777" w:rsidR="009521CE" w:rsidRPr="009521CE" w:rsidRDefault="009521CE" w:rsidP="009521CE">
      <w:pPr>
        <w:numPr>
          <w:ilvl w:val="0"/>
          <w:numId w:val="13"/>
        </w:numPr>
      </w:pPr>
      <w:r w:rsidRPr="009521CE">
        <w:rPr>
          <w:b/>
          <w:bCs/>
        </w:rPr>
        <w:t>5 FMT groups × 20 participants = 100 mice</w:t>
      </w:r>
      <w:r w:rsidRPr="009521CE">
        <w:t> (20 mice/group, 5 donors/group).</w:t>
      </w:r>
    </w:p>
    <w:p w14:paraId="5A40C98D" w14:textId="77777777" w:rsidR="009521CE" w:rsidRPr="009521CE" w:rsidRDefault="009521CE" w:rsidP="009521CE">
      <w:pPr>
        <w:numPr>
          <w:ilvl w:val="0"/>
          <w:numId w:val="13"/>
        </w:numPr>
      </w:pPr>
      <w:r w:rsidRPr="009521CE">
        <w:rPr>
          <w:b/>
          <w:bCs/>
        </w:rPr>
        <w:t>Power simulation</w:t>
      </w:r>
      <w:r w:rsidRPr="009521CE">
        <w:t> (Monte Carlo) confirms:</w:t>
      </w:r>
    </w:p>
    <w:p w14:paraId="0280FBB8" w14:textId="42CA3E06" w:rsidR="009521CE" w:rsidRDefault="009521CE" w:rsidP="00E701B1">
      <w:pPr>
        <w:jc w:val="center"/>
      </w:pPr>
      <w:r w:rsidRPr="009521CE">
        <w:rPr>
          <w:b/>
          <w:bCs/>
        </w:rPr>
        <w:t>Power=1−β</w:t>
      </w:r>
      <w:r w:rsidR="00E701B1">
        <w:rPr>
          <w:b/>
          <w:bCs/>
        </w:rPr>
        <w:t xml:space="preserve"> </w:t>
      </w:r>
      <w:r w:rsidRPr="009521CE">
        <w:t>≈</w:t>
      </w:r>
      <w:r w:rsidR="00E701B1">
        <w:t xml:space="preserve"> </w:t>
      </w:r>
      <w:r w:rsidRPr="009521CE">
        <w:t>85%</w:t>
      </w:r>
      <w:r w:rsidR="00E701B1">
        <w:t xml:space="preserve"> </w:t>
      </w:r>
      <w:r w:rsidRPr="009521CE">
        <w:t> for Δ=40%.</w:t>
      </w:r>
    </w:p>
    <w:p w14:paraId="7AD54E3A" w14:textId="77777777" w:rsidR="00E701B1" w:rsidRDefault="00E701B1" w:rsidP="00E701B1">
      <w:pPr>
        <w:jc w:val="center"/>
      </w:pPr>
    </w:p>
    <w:p w14:paraId="49A7CAA8" w14:textId="77777777" w:rsidR="00E701B1" w:rsidRDefault="00E701B1" w:rsidP="00E701B1">
      <w:pPr>
        <w:jc w:val="center"/>
      </w:pPr>
    </w:p>
    <w:p w14:paraId="095D1232" w14:textId="77777777" w:rsidR="00E701B1" w:rsidRDefault="00E701B1" w:rsidP="00E701B1">
      <w:pPr>
        <w:jc w:val="center"/>
      </w:pPr>
    </w:p>
    <w:p w14:paraId="6CF94CF3" w14:textId="77777777" w:rsidR="00E701B1" w:rsidRPr="009521CE" w:rsidRDefault="00E701B1" w:rsidP="00E701B1">
      <w:pPr>
        <w:jc w:val="center"/>
      </w:pPr>
    </w:p>
    <w:p w14:paraId="29457EFD" w14:textId="77777777" w:rsidR="009521CE" w:rsidRPr="009521CE" w:rsidRDefault="009521CE" w:rsidP="009521CE">
      <w:r w:rsidRPr="009521CE">
        <w:lastRenderedPageBreak/>
        <w:pict w14:anchorId="33436AD5">
          <v:rect id="_x0000_i1074" style="width:0;height:.75pt" o:hralign="center" o:hrstd="t" o:hrnoshade="t" o:hr="t" fillcolor="#404040" stroked="f"/>
        </w:pict>
      </w:r>
    </w:p>
    <w:p w14:paraId="6A256BC7" w14:textId="77777777" w:rsidR="009521CE" w:rsidRPr="009521CE" w:rsidRDefault="009521CE" w:rsidP="009521CE">
      <w:pPr>
        <w:rPr>
          <w:b/>
          <w:bCs/>
        </w:rPr>
      </w:pPr>
      <w:r w:rsidRPr="009521CE">
        <w:rPr>
          <w:b/>
          <w:bCs/>
        </w:rPr>
        <w:t>3. Operating Characteristics (Power vs. Effect Size)</w:t>
      </w:r>
    </w:p>
    <w:p w14:paraId="38A4A728" w14:textId="77777777" w:rsidR="009521CE" w:rsidRPr="009521CE" w:rsidRDefault="009521CE" w:rsidP="009521CE">
      <w:r w:rsidRPr="009521CE">
        <w:t>Power curves were generated using:</w:t>
      </w:r>
    </w:p>
    <w:p w14:paraId="1FAD78A8" w14:textId="5EFAA2B9" w:rsidR="009521CE" w:rsidRPr="009521CE" w:rsidRDefault="00E701B1" w:rsidP="009521CE">
      <m:oMathPara>
        <m:oMath>
          <m:r>
            <w:rPr>
              <w:rFonts w:ascii="Cambria Math" w:hAnsi="Cambria Math"/>
            </w:rPr>
            <m:t>Power=Φ</m:t>
          </m:r>
          <m:r>
            <w:rPr>
              <w:rFonts w:ascii="Cambria Math" w:hAnsi="Cambria Math"/>
            </w:rPr>
            <m:t>(</m:t>
          </m:r>
          <m:f>
            <m:fPr>
              <m:ctrlPr>
                <w:rPr>
                  <w:rFonts w:ascii="Cambria Math" w:hAnsi="Cambria Math"/>
                  <w:i/>
                  <w:iCs/>
                </w:rPr>
              </m:ctrlPr>
            </m:fPr>
            <m:num>
              <m:r>
                <w:rPr>
                  <w:rFonts w:ascii="Cambria Math" w:hAnsi="Cambria Math"/>
                </w:rPr>
                <m:t>∆</m:t>
              </m:r>
            </m:num>
            <m:den>
              <m:rad>
                <m:radPr>
                  <m:degHide m:val="1"/>
                  <m:ctrlPr>
                    <w:rPr>
                      <w:rFonts w:ascii="Cambria Math" w:hAnsi="Cambria Math"/>
                      <w:i/>
                      <w:iCs/>
                    </w:rPr>
                  </m:ctrlPr>
                </m:radPr>
                <m:deg/>
                <m:e>
                  <m:f>
                    <m:fPr>
                      <m:type m:val="skw"/>
                      <m:ctrlPr>
                        <w:rPr>
                          <w:rFonts w:ascii="Cambria Math" w:hAnsi="Cambria Math"/>
                          <w:i/>
                          <w:iCs/>
                        </w:rPr>
                      </m:ctrlPr>
                    </m:fPr>
                    <m:num>
                      <m:sSup>
                        <m:sSupPr>
                          <m:ctrlPr>
                            <w:rPr>
                              <w:rFonts w:ascii="Cambria Math" w:hAnsi="Cambria Math"/>
                              <w:i/>
                              <w:iCs/>
                            </w:rPr>
                          </m:ctrlPr>
                        </m:sSupPr>
                        <m:e>
                          <m:r>
                            <w:rPr>
                              <w:rFonts w:ascii="Cambria Math" w:hAnsi="Cambria Math"/>
                            </w:rPr>
                            <m:t>σ</m:t>
                          </m:r>
                        </m:e>
                        <m:sup>
                          <m:r>
                            <w:rPr>
                              <w:rFonts w:ascii="Cambria Math" w:hAnsi="Cambria Math"/>
                            </w:rPr>
                            <m:t>2</m:t>
                          </m:r>
                        </m:sup>
                      </m:sSup>
                    </m:num>
                    <m:den>
                      <m:r>
                        <w:rPr>
                          <w:rFonts w:ascii="Cambria Math" w:hAnsi="Cambria Math"/>
                        </w:rPr>
                        <m:t>n</m:t>
                      </m:r>
                    </m:den>
                  </m:f>
                </m:e>
              </m:rad>
            </m:den>
          </m:f>
          <m:r>
            <w:rPr>
              <w:rFonts w:ascii="Cambria Math" w:hAnsi="Cambria Math"/>
            </w:rPr>
            <m:t xml:space="preserve">- </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m:t>
              </m:r>
              <m:f>
                <m:fPr>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2</m:t>
                  </m:r>
                </m:den>
              </m:f>
            </m:sub>
          </m:sSub>
          <m:r>
            <w:rPr>
              <w:rFonts w:ascii="Cambria Math" w:hAnsi="Cambria Math"/>
            </w:rPr>
            <m:t xml:space="preserve">) </m:t>
          </m:r>
        </m:oMath>
      </m:oMathPara>
    </w:p>
    <w:p w14:paraId="5CFA97AD" w14:textId="77777777" w:rsidR="009521CE" w:rsidRPr="009521CE" w:rsidRDefault="009521CE" w:rsidP="009521CE">
      <w:r w:rsidRPr="009521CE">
        <w:rPr>
          <w:b/>
          <w:bCs/>
        </w:rPr>
        <w:t>Where:</w:t>
      </w:r>
    </w:p>
    <w:p w14:paraId="1499AF1A" w14:textId="1454B4FF" w:rsidR="009521CE" w:rsidRPr="009521CE" w:rsidRDefault="00E701B1" w:rsidP="009521CE">
      <w:pPr>
        <w:numPr>
          <w:ilvl w:val="0"/>
          <w:numId w:val="14"/>
        </w:numPr>
      </w:pPr>
      <m:oMath>
        <m:r>
          <w:rPr>
            <w:rFonts w:ascii="Cambria Math" w:hAnsi="Cambria Math"/>
          </w:rPr>
          <m:t>Φ</m:t>
        </m:r>
      </m:oMath>
      <w:r w:rsidR="009521CE" w:rsidRPr="009521CE">
        <w:t> = Cumulative distribution function (CDF) of the standard normal distribution.</w:t>
      </w:r>
    </w:p>
    <w:p w14:paraId="66DF3775" w14:textId="4F4410A4" w:rsidR="009521CE" w:rsidRPr="009521CE" w:rsidRDefault="00E701B1" w:rsidP="009521CE">
      <w:pPr>
        <w:numPr>
          <w:ilvl w:val="0"/>
          <w:numId w:val="14"/>
        </w:numPr>
        <w:rPr>
          <w:lang w:val="pt-BR"/>
        </w:rPr>
      </w:pPr>
      <m:oMath>
        <m:sSup>
          <m:sSupPr>
            <m:ctrlPr>
              <w:rPr>
                <w:rFonts w:ascii="Cambria Math" w:hAnsi="Cambria Math"/>
                <w:i/>
                <w:iCs/>
              </w:rPr>
            </m:ctrlPr>
          </m:sSupPr>
          <m:e>
            <m:r>
              <w:rPr>
                <w:rFonts w:ascii="Cambria Math" w:hAnsi="Cambria Math"/>
              </w:rPr>
              <m:t>σ</m:t>
            </m:r>
          </m:e>
          <m:sup>
            <m:r>
              <w:rPr>
                <w:rFonts w:ascii="Cambria Math" w:hAnsi="Cambria Math"/>
                <w:lang w:val="pt-BR"/>
              </w:rPr>
              <m:t>2</m:t>
            </m:r>
          </m:sup>
        </m:sSup>
      </m:oMath>
      <w:r w:rsidR="009521CE" w:rsidRPr="009521CE">
        <w:rPr>
          <w:lang w:val="pt-BR"/>
        </w:rPr>
        <w:t> = Variance (microbiome: </w:t>
      </w:r>
      <m:oMath>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d</m:t>
            </m:r>
          </m:sub>
          <m:sup>
            <m:r>
              <w:rPr>
                <w:rFonts w:ascii="Cambria Math" w:hAnsi="Cambria Math" w:cs="Arial"/>
                <w:sz w:val="28"/>
                <w:szCs w:val="28"/>
                <w:lang w:val="pt-BR"/>
              </w:rPr>
              <m:t>2</m:t>
            </m:r>
          </m:sup>
        </m:sSubSup>
      </m:oMath>
      <w:r w:rsidR="009521CE" w:rsidRPr="009521CE">
        <w:rPr>
          <w:lang w:val="pt-BR"/>
        </w:rPr>
        <w:t>; tumor: </w:t>
      </w:r>
      <m:oMath>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total</m:t>
            </m:r>
          </m:sub>
          <m:sup>
            <m:r>
              <w:rPr>
                <w:rFonts w:ascii="Cambria Math" w:hAnsi="Cambria Math" w:cs="Arial"/>
                <w:sz w:val="28"/>
                <w:szCs w:val="28"/>
                <w:lang w:val="pt-BR"/>
              </w:rPr>
              <m:t>2</m:t>
            </m:r>
          </m:sup>
        </m:sSubSup>
      </m:oMath>
      <w:r w:rsidR="009521CE" w:rsidRPr="009521CE">
        <w:rPr>
          <w:rFonts w:ascii="Arial" w:hAnsi="Arial" w:cs="Arial"/>
          <w:lang w:val="pt-BR"/>
        </w:rPr>
        <w:t>​</w:t>
      </w:r>
      <w:r w:rsidR="009521CE" w:rsidRPr="009521CE">
        <w:rPr>
          <w:lang w:val="pt-BR"/>
        </w:rPr>
        <w:t>).</w:t>
      </w:r>
    </w:p>
    <w:p w14:paraId="1C5F7A7E" w14:textId="77777777" w:rsidR="009521CE" w:rsidRPr="009521CE" w:rsidRDefault="009521CE" w:rsidP="009521CE">
      <w:r w:rsidRPr="009521CE">
        <w:rPr>
          <w:b/>
          <w:bCs/>
        </w:rPr>
        <w:t>Example for Microbiome (n=20):</w:t>
      </w:r>
    </w:p>
    <w:p w14:paraId="15EAF856" w14:textId="0E73B6B3" w:rsidR="009521CE" w:rsidRPr="009521CE" w:rsidRDefault="009521CE" w:rsidP="009521CE">
      <w:pPr>
        <w:numPr>
          <w:ilvl w:val="0"/>
          <w:numId w:val="15"/>
        </w:numPr>
      </w:pPr>
      <w:r w:rsidRPr="009521CE">
        <w:t>If Δ=0.5 (small effect), </w:t>
      </w:r>
      <m:oMath>
        <m:sSubSup>
          <m:sSubSupPr>
            <m:ctrlPr>
              <w:rPr>
                <w:rFonts w:ascii="Cambria Math" w:hAnsi="Cambria Math" w:cs="Arial"/>
                <w:i/>
                <w:sz w:val="28"/>
                <w:szCs w:val="28"/>
              </w:rPr>
            </m:ctrlPr>
          </m:sSubSupPr>
          <m:e>
            <m:r>
              <w:rPr>
                <w:rFonts w:ascii="Cambria Math" w:hAnsi="Cambria Math" w:cs="Arial"/>
                <w:sz w:val="28"/>
                <w:szCs w:val="28"/>
              </w:rPr>
              <m:t>σ</m:t>
            </m:r>
          </m:e>
          <m:sub>
            <m:r>
              <w:rPr>
                <w:rFonts w:ascii="Cambria Math" w:hAnsi="Cambria Math" w:cs="Arial"/>
                <w:sz w:val="28"/>
                <w:szCs w:val="28"/>
              </w:rPr>
              <m:t>d</m:t>
            </m:r>
          </m:sub>
          <m:sup/>
        </m:sSubSup>
      </m:oMath>
      <w:r w:rsidRPr="009521CE">
        <w:rPr>
          <w:rFonts w:ascii="Arial" w:hAnsi="Arial" w:cs="Arial"/>
        </w:rPr>
        <w:t>​</w:t>
      </w:r>
      <w:r w:rsidRPr="009521CE">
        <w:t>=1:</w:t>
      </w:r>
    </w:p>
    <w:p w14:paraId="7245B66F" w14:textId="79044A99" w:rsidR="009521CE" w:rsidRPr="009521CE" w:rsidRDefault="00E701B1" w:rsidP="00E701B1">
      <w:pPr>
        <w:jc w:val="center"/>
      </w:pPr>
      <m:oMath>
        <m:r>
          <w:rPr>
            <w:rFonts w:ascii="Cambria Math" w:hAnsi="Cambria Math"/>
          </w:rPr>
          <m:t>Power=Φ</m:t>
        </m:r>
        <m:r>
          <w:rPr>
            <w:rFonts w:ascii="Cambria Math" w:hAnsi="Cambria Math"/>
          </w:rPr>
          <m:t>(</m:t>
        </m:r>
        <m:f>
          <m:fPr>
            <m:ctrlPr>
              <w:rPr>
                <w:rFonts w:ascii="Cambria Math" w:hAnsi="Cambria Math"/>
                <w:i/>
                <w:iCs/>
              </w:rPr>
            </m:ctrlPr>
          </m:fPr>
          <m:num>
            <m:r>
              <w:rPr>
                <w:rFonts w:ascii="Cambria Math" w:hAnsi="Cambria Math"/>
              </w:rPr>
              <m:t>0.5</m:t>
            </m:r>
          </m:num>
          <m:den>
            <m:rad>
              <m:radPr>
                <m:degHide m:val="1"/>
                <m:ctrlPr>
                  <w:rPr>
                    <w:rFonts w:ascii="Cambria Math" w:hAnsi="Cambria Math"/>
                    <w:i/>
                    <w:iCs/>
                  </w:rPr>
                </m:ctrlPr>
              </m:radPr>
              <m:deg/>
              <m:e>
                <m:f>
                  <m:fPr>
                    <m:type m:val="skw"/>
                    <m:ctrlPr>
                      <w:rPr>
                        <w:rFonts w:ascii="Cambria Math" w:hAnsi="Cambria Math"/>
                        <w:i/>
                        <w:iCs/>
                      </w:rPr>
                    </m:ctrlPr>
                  </m:fPr>
                  <m:num>
                    <m:r>
                      <w:rPr>
                        <w:rFonts w:ascii="Cambria Math" w:hAnsi="Cambria Math"/>
                      </w:rPr>
                      <m:t>1</m:t>
                    </m:r>
                  </m:num>
                  <m:den>
                    <m:r>
                      <w:rPr>
                        <w:rFonts w:ascii="Cambria Math" w:hAnsi="Cambria Math"/>
                      </w:rPr>
                      <m:t>20</m:t>
                    </m:r>
                  </m:den>
                </m:f>
              </m:e>
            </m:rad>
          </m:den>
        </m:f>
        <m:r>
          <w:rPr>
            <w:rFonts w:ascii="Cambria Math" w:hAnsi="Cambria Math"/>
          </w:rPr>
          <m:t xml:space="preserve">- </m:t>
        </m:r>
        <m:r>
          <w:rPr>
            <w:rFonts w:ascii="Cambria Math" w:hAnsi="Cambria Math" w:cs="Arial"/>
            <w:sz w:val="28"/>
            <w:szCs w:val="28"/>
          </w:rPr>
          <m:t>1.96</m:t>
        </m:r>
        <m:r>
          <w:rPr>
            <w:rFonts w:ascii="Cambria Math" w:hAnsi="Cambria Math"/>
          </w:rPr>
          <m:t xml:space="preserve">) </m:t>
        </m:r>
      </m:oMath>
      <w:r w:rsidR="009521CE" w:rsidRPr="009521CE">
        <w:t>=Φ(0.24)</w:t>
      </w:r>
      <w:r>
        <w:t xml:space="preserve"> </w:t>
      </w:r>
      <w:r w:rsidR="009521CE" w:rsidRPr="009521CE">
        <w:t>≈</w:t>
      </w:r>
      <w:r>
        <w:t xml:space="preserve"> </w:t>
      </w:r>
      <w:r w:rsidR="009521CE" w:rsidRPr="009521CE">
        <w:t>60%.</w:t>
      </w:r>
    </w:p>
    <w:p w14:paraId="7774AD31" w14:textId="77777777" w:rsidR="009521CE" w:rsidRPr="009521CE" w:rsidRDefault="009521CE" w:rsidP="009521CE">
      <w:r w:rsidRPr="009521CE">
        <w:pict w14:anchorId="3C663C6E">
          <v:rect id="_x0000_i1075" style="width:0;height:.75pt" o:hralign="center" o:hrstd="t" o:hrnoshade="t" o:hr="t" fillcolor="#404040" stroked="f"/>
        </w:pict>
      </w:r>
    </w:p>
    <w:p w14:paraId="52252E28" w14:textId="77777777" w:rsidR="009521CE" w:rsidRPr="009521CE" w:rsidRDefault="009521CE" w:rsidP="009521CE">
      <w:pPr>
        <w:rPr>
          <w:b/>
          <w:bCs/>
        </w:rPr>
      </w:pPr>
      <w:r w:rsidRPr="009521CE">
        <w:rPr>
          <w:b/>
          <w:bCs/>
        </w:rPr>
        <w:t>Key Assumptions</w:t>
      </w:r>
    </w:p>
    <w:p w14:paraId="77688A05" w14:textId="77777777" w:rsidR="009521CE" w:rsidRPr="009521CE" w:rsidRDefault="009521CE" w:rsidP="009521CE">
      <w:pPr>
        <w:numPr>
          <w:ilvl w:val="0"/>
          <w:numId w:val="16"/>
        </w:numPr>
      </w:pPr>
      <w:r w:rsidRPr="009521CE">
        <w:rPr>
          <w:b/>
          <w:bCs/>
        </w:rPr>
        <w:t>Microbiome:</w:t>
      </w:r>
    </w:p>
    <w:p w14:paraId="0083EBB0" w14:textId="77777777" w:rsidR="009521CE" w:rsidRPr="009521CE" w:rsidRDefault="009521CE" w:rsidP="009521CE">
      <w:pPr>
        <w:numPr>
          <w:ilvl w:val="1"/>
          <w:numId w:val="16"/>
        </w:numPr>
      </w:pPr>
      <w:r w:rsidRPr="009521CE">
        <w:t>Normally distributed differences (Shannon/SCFA changes).</w:t>
      </w:r>
    </w:p>
    <w:p w14:paraId="5FF57ACE" w14:textId="77777777" w:rsidR="009521CE" w:rsidRPr="009521CE" w:rsidRDefault="009521CE" w:rsidP="009521CE">
      <w:pPr>
        <w:numPr>
          <w:ilvl w:val="1"/>
          <w:numId w:val="16"/>
        </w:numPr>
      </w:pPr>
      <w:r w:rsidRPr="009521CE">
        <w:t>ICC = 0.3 for repeated measures.</w:t>
      </w:r>
    </w:p>
    <w:p w14:paraId="67750FB2" w14:textId="77777777" w:rsidR="009521CE" w:rsidRPr="009521CE" w:rsidRDefault="009521CE" w:rsidP="009521CE">
      <w:pPr>
        <w:numPr>
          <w:ilvl w:val="0"/>
          <w:numId w:val="16"/>
        </w:numPr>
      </w:pPr>
      <w:r w:rsidRPr="009521CE">
        <w:rPr>
          <w:b/>
          <w:bCs/>
        </w:rPr>
        <w:t>FMT Tumor Model:</w:t>
      </w:r>
    </w:p>
    <w:p w14:paraId="10E80352" w14:textId="77777777" w:rsidR="009521CE" w:rsidRPr="009521CE" w:rsidRDefault="009521CE" w:rsidP="009521CE">
      <w:pPr>
        <w:numPr>
          <w:ilvl w:val="1"/>
          <w:numId w:val="16"/>
        </w:numPr>
      </w:pPr>
      <w:r w:rsidRPr="009521CE">
        <w:t>Linear mixed model accounts for donor-clustered effects.</w:t>
      </w:r>
    </w:p>
    <w:p w14:paraId="2FD42A98" w14:textId="77777777" w:rsidR="009521CE" w:rsidRPr="009521CE" w:rsidRDefault="009521CE" w:rsidP="009521CE">
      <w:pPr>
        <w:numPr>
          <w:ilvl w:val="1"/>
          <w:numId w:val="16"/>
        </w:numPr>
      </w:pPr>
      <w:r w:rsidRPr="009521CE">
        <w:t>Tumor volumes log-transformed if skewed.</w:t>
      </w:r>
    </w:p>
    <w:p w14:paraId="7972DFD5" w14:textId="77777777" w:rsidR="009521CE" w:rsidRPr="009521CE" w:rsidRDefault="009521CE" w:rsidP="009521CE">
      <w:pPr>
        <w:numPr>
          <w:ilvl w:val="0"/>
          <w:numId w:val="16"/>
        </w:numPr>
      </w:pPr>
      <w:r w:rsidRPr="009521CE">
        <w:rPr>
          <w:b/>
          <w:bCs/>
        </w:rPr>
        <w:t>Dropout:</w:t>
      </w:r>
    </w:p>
    <w:p w14:paraId="4701EDAF" w14:textId="77777777" w:rsidR="009521CE" w:rsidRPr="009521CE" w:rsidRDefault="009521CE" w:rsidP="009521CE">
      <w:pPr>
        <w:numPr>
          <w:ilvl w:val="1"/>
          <w:numId w:val="16"/>
        </w:numPr>
      </w:pPr>
      <w:r w:rsidRPr="009521CE">
        <w:t>Final </w:t>
      </w:r>
      <w:r w:rsidRPr="009521CE">
        <w:rPr>
          <w:i/>
          <w:iCs/>
        </w:rPr>
        <w:t>n</w:t>
      </w:r>
      <w:r w:rsidRPr="009521CE">
        <w:t> = 16 still achieves </w:t>
      </w:r>
      <w:r w:rsidRPr="009521CE">
        <w:rPr>
          <w:b/>
          <w:bCs/>
        </w:rPr>
        <w:t>&gt;75% power</w:t>
      </w:r>
      <w:r w:rsidRPr="009521CE">
        <w:t> for </w:t>
      </w:r>
      <w:r w:rsidRPr="009521CE">
        <w:rPr>
          <w:i/>
          <w:iCs/>
        </w:rPr>
        <w:t>d</w:t>
      </w:r>
      <w:r w:rsidRPr="009521CE">
        <w:t> ≥ 0.7.</w:t>
      </w:r>
    </w:p>
    <w:p w14:paraId="4F5A5966" w14:textId="77777777" w:rsidR="009521CE" w:rsidRDefault="009521CE"/>
    <w:p w14:paraId="1D3B9E5E" w14:textId="77777777" w:rsidR="00553CC2" w:rsidRDefault="00553CC2"/>
    <w:p w14:paraId="4678A6D1" w14:textId="77777777" w:rsidR="00553CC2" w:rsidRDefault="00553CC2"/>
    <w:p w14:paraId="47DABD27" w14:textId="77777777" w:rsidR="00553CC2" w:rsidRDefault="00553CC2"/>
    <w:p w14:paraId="246857EF" w14:textId="2E1B294D" w:rsidR="00553CC2" w:rsidRDefault="00553CC2">
      <w:r>
        <w:rPr>
          <w:noProof/>
        </w:rPr>
        <w:lastRenderedPageBreak/>
        <w:drawing>
          <wp:inline distT="0" distB="0" distL="0" distR="0" wp14:anchorId="6D359776" wp14:editId="1FDC7FF1">
            <wp:extent cx="5943600" cy="4457700"/>
            <wp:effectExtent l="0" t="0" r="0" b="0"/>
            <wp:docPr id="760648616" name="Picture 2"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48616" name="Picture 2" descr="A graph with lines and dot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3C006E6C" wp14:editId="293CE2FB">
            <wp:extent cx="5486400" cy="5486400"/>
            <wp:effectExtent l="0" t="0" r="0" b="0"/>
            <wp:docPr id="1578026015" name="Picture 1" descr="A graph of a bar and a number of microb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6015" name="Picture 1" descr="A graph of a bar and a number of microb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75D944D" w14:textId="77777777" w:rsidR="00553CC2" w:rsidRDefault="00553CC2"/>
    <w:sectPr w:rsidR="0055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382A"/>
    <w:multiLevelType w:val="multilevel"/>
    <w:tmpl w:val="B51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802A8"/>
    <w:multiLevelType w:val="multilevel"/>
    <w:tmpl w:val="2992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16C07"/>
    <w:multiLevelType w:val="multilevel"/>
    <w:tmpl w:val="2BAAA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03151"/>
    <w:multiLevelType w:val="multilevel"/>
    <w:tmpl w:val="7D06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C4BDA"/>
    <w:multiLevelType w:val="multilevel"/>
    <w:tmpl w:val="4768A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2462E"/>
    <w:multiLevelType w:val="multilevel"/>
    <w:tmpl w:val="0792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54777"/>
    <w:multiLevelType w:val="multilevel"/>
    <w:tmpl w:val="A3A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9262B"/>
    <w:multiLevelType w:val="multilevel"/>
    <w:tmpl w:val="179C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F6AD8"/>
    <w:multiLevelType w:val="multilevel"/>
    <w:tmpl w:val="7362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D2C57"/>
    <w:multiLevelType w:val="multilevel"/>
    <w:tmpl w:val="8330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2742C"/>
    <w:multiLevelType w:val="multilevel"/>
    <w:tmpl w:val="2C0E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467D9"/>
    <w:multiLevelType w:val="multilevel"/>
    <w:tmpl w:val="6C68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40711"/>
    <w:multiLevelType w:val="multilevel"/>
    <w:tmpl w:val="859C2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BD4A95"/>
    <w:multiLevelType w:val="multilevel"/>
    <w:tmpl w:val="0EC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97D17"/>
    <w:multiLevelType w:val="multilevel"/>
    <w:tmpl w:val="5F8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D2CFF"/>
    <w:multiLevelType w:val="multilevel"/>
    <w:tmpl w:val="EA60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943445">
    <w:abstractNumId w:val="9"/>
  </w:num>
  <w:num w:numId="2" w16cid:durableId="565410197">
    <w:abstractNumId w:val="13"/>
  </w:num>
  <w:num w:numId="3" w16cid:durableId="167988432">
    <w:abstractNumId w:val="4"/>
  </w:num>
  <w:num w:numId="4" w16cid:durableId="982471277">
    <w:abstractNumId w:val="3"/>
  </w:num>
  <w:num w:numId="5" w16cid:durableId="227885121">
    <w:abstractNumId w:val="10"/>
  </w:num>
  <w:num w:numId="6" w16cid:durableId="1261372793">
    <w:abstractNumId w:val="8"/>
  </w:num>
  <w:num w:numId="7" w16cid:durableId="1656106685">
    <w:abstractNumId w:val="2"/>
  </w:num>
  <w:num w:numId="8" w16cid:durableId="560138155">
    <w:abstractNumId w:val="0"/>
  </w:num>
  <w:num w:numId="9" w16cid:durableId="1104959948">
    <w:abstractNumId w:val="7"/>
  </w:num>
  <w:num w:numId="10" w16cid:durableId="1809515325">
    <w:abstractNumId w:val="6"/>
  </w:num>
  <w:num w:numId="11" w16cid:durableId="1618835387">
    <w:abstractNumId w:val="11"/>
  </w:num>
  <w:num w:numId="12" w16cid:durableId="450635428">
    <w:abstractNumId w:val="1"/>
  </w:num>
  <w:num w:numId="13" w16cid:durableId="745878223">
    <w:abstractNumId w:val="5"/>
  </w:num>
  <w:num w:numId="14" w16cid:durableId="2085642248">
    <w:abstractNumId w:val="14"/>
  </w:num>
  <w:num w:numId="15" w16cid:durableId="1208103724">
    <w:abstractNumId w:val="15"/>
  </w:num>
  <w:num w:numId="16" w16cid:durableId="10468807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CE"/>
    <w:rsid w:val="00137775"/>
    <w:rsid w:val="001A3BDB"/>
    <w:rsid w:val="004F7EE5"/>
    <w:rsid w:val="00553CC2"/>
    <w:rsid w:val="00776ACE"/>
    <w:rsid w:val="009521CE"/>
    <w:rsid w:val="00B40483"/>
    <w:rsid w:val="00E701B1"/>
    <w:rsid w:val="00EA5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CA890"/>
  <w15:chartTrackingRefBased/>
  <w15:docId w15:val="{F0389165-6951-4695-9AEF-58D77686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A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A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A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ACE"/>
    <w:rPr>
      <w:rFonts w:eastAsiaTheme="majorEastAsia" w:cstheme="majorBidi"/>
      <w:color w:val="272727" w:themeColor="text1" w:themeTint="D8"/>
    </w:rPr>
  </w:style>
  <w:style w:type="paragraph" w:styleId="Title">
    <w:name w:val="Title"/>
    <w:basedOn w:val="Normal"/>
    <w:next w:val="Normal"/>
    <w:link w:val="TitleChar"/>
    <w:uiPriority w:val="10"/>
    <w:qFormat/>
    <w:rsid w:val="00776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ACE"/>
    <w:pPr>
      <w:spacing w:before="160"/>
      <w:jc w:val="center"/>
    </w:pPr>
    <w:rPr>
      <w:i/>
      <w:iCs/>
      <w:color w:val="404040" w:themeColor="text1" w:themeTint="BF"/>
    </w:rPr>
  </w:style>
  <w:style w:type="character" w:customStyle="1" w:styleId="QuoteChar">
    <w:name w:val="Quote Char"/>
    <w:basedOn w:val="DefaultParagraphFont"/>
    <w:link w:val="Quote"/>
    <w:uiPriority w:val="29"/>
    <w:rsid w:val="00776ACE"/>
    <w:rPr>
      <w:i/>
      <w:iCs/>
      <w:color w:val="404040" w:themeColor="text1" w:themeTint="BF"/>
    </w:rPr>
  </w:style>
  <w:style w:type="paragraph" w:styleId="ListParagraph">
    <w:name w:val="List Paragraph"/>
    <w:basedOn w:val="Normal"/>
    <w:uiPriority w:val="34"/>
    <w:qFormat/>
    <w:rsid w:val="00776ACE"/>
    <w:pPr>
      <w:ind w:left="720"/>
      <w:contextualSpacing/>
    </w:pPr>
  </w:style>
  <w:style w:type="character" w:styleId="IntenseEmphasis">
    <w:name w:val="Intense Emphasis"/>
    <w:basedOn w:val="DefaultParagraphFont"/>
    <w:uiPriority w:val="21"/>
    <w:qFormat/>
    <w:rsid w:val="00776ACE"/>
    <w:rPr>
      <w:i/>
      <w:iCs/>
      <w:color w:val="0F4761" w:themeColor="accent1" w:themeShade="BF"/>
    </w:rPr>
  </w:style>
  <w:style w:type="paragraph" w:styleId="IntenseQuote">
    <w:name w:val="Intense Quote"/>
    <w:basedOn w:val="Normal"/>
    <w:next w:val="Normal"/>
    <w:link w:val="IntenseQuoteChar"/>
    <w:uiPriority w:val="30"/>
    <w:qFormat/>
    <w:rsid w:val="00776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ACE"/>
    <w:rPr>
      <w:i/>
      <w:iCs/>
      <w:color w:val="0F4761" w:themeColor="accent1" w:themeShade="BF"/>
    </w:rPr>
  </w:style>
  <w:style w:type="character" w:styleId="IntenseReference">
    <w:name w:val="Intense Reference"/>
    <w:basedOn w:val="DefaultParagraphFont"/>
    <w:uiPriority w:val="32"/>
    <w:qFormat/>
    <w:rsid w:val="00776ACE"/>
    <w:rPr>
      <w:b/>
      <w:bCs/>
      <w:smallCaps/>
      <w:color w:val="0F4761" w:themeColor="accent1" w:themeShade="BF"/>
      <w:spacing w:val="5"/>
    </w:rPr>
  </w:style>
  <w:style w:type="character" w:styleId="PlaceholderText">
    <w:name w:val="Placeholder Text"/>
    <w:basedOn w:val="DefaultParagraphFont"/>
    <w:uiPriority w:val="99"/>
    <w:semiHidden/>
    <w:rsid w:val="004F7EE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299427">
      <w:bodyDiv w:val="1"/>
      <w:marLeft w:val="0"/>
      <w:marRight w:val="0"/>
      <w:marTop w:val="0"/>
      <w:marBottom w:val="0"/>
      <w:divBdr>
        <w:top w:val="none" w:sz="0" w:space="0" w:color="auto"/>
        <w:left w:val="none" w:sz="0" w:space="0" w:color="auto"/>
        <w:bottom w:val="none" w:sz="0" w:space="0" w:color="auto"/>
        <w:right w:val="none" w:sz="0" w:space="0" w:color="auto"/>
      </w:divBdr>
    </w:div>
    <w:div w:id="929587482">
      <w:bodyDiv w:val="1"/>
      <w:marLeft w:val="0"/>
      <w:marRight w:val="0"/>
      <w:marTop w:val="0"/>
      <w:marBottom w:val="0"/>
      <w:divBdr>
        <w:top w:val="none" w:sz="0" w:space="0" w:color="auto"/>
        <w:left w:val="none" w:sz="0" w:space="0" w:color="auto"/>
        <w:bottom w:val="none" w:sz="0" w:space="0" w:color="auto"/>
        <w:right w:val="none" w:sz="0" w:space="0" w:color="auto"/>
      </w:divBdr>
    </w:div>
    <w:div w:id="1304651318">
      <w:bodyDiv w:val="1"/>
      <w:marLeft w:val="0"/>
      <w:marRight w:val="0"/>
      <w:marTop w:val="0"/>
      <w:marBottom w:val="0"/>
      <w:divBdr>
        <w:top w:val="none" w:sz="0" w:space="0" w:color="auto"/>
        <w:left w:val="none" w:sz="0" w:space="0" w:color="auto"/>
        <w:bottom w:val="none" w:sz="0" w:space="0" w:color="auto"/>
        <w:right w:val="none" w:sz="0" w:space="0" w:color="auto"/>
      </w:divBdr>
    </w:div>
    <w:div w:id="17668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869FB-4FB1-4D52-AC25-2BF4800A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3326</Words>
  <Characters>19428</Characters>
  <Application>Microsoft Office Word</Application>
  <DocSecurity>0</DocSecurity>
  <Lines>607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Qaraad</dc:creator>
  <cp:keywords/>
  <dc:description/>
  <cp:lastModifiedBy>Mohammed Qaraad</cp:lastModifiedBy>
  <cp:revision>4</cp:revision>
  <dcterms:created xsi:type="dcterms:W3CDTF">2025-04-07T19:35:00Z</dcterms:created>
  <dcterms:modified xsi:type="dcterms:W3CDTF">2025-04-07T20:06:00Z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0da2414dc1054551e8a60f9ba4c5cf86b5e3d3d71051622dd96c049069526efb</vt:lpwstr>
  </property>
  <property fmtid="{D5CDD505-2E9C-101B-9397-08002B2CF9AE}" pid="3" name="Mendeley Recent Style Id 0_1">
    <vt:lpwstr>http://www.zotero.org/styles/advances-in-engineering-software</vt:lpwstr>
  </property>
  <property fmtid="{D5CDD505-2E9C-101B-9397-08002B2CF9AE}" pid="4" name="Mendeley Recent Style Name 0_1">
    <vt:lpwstr>Advances in Engineering Software</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6th/7th edition</vt:lpwstr>
  </property>
  <property fmtid="{D5CDD505-2E9C-101B-9397-08002B2CF9AE}" pid="7" name="Mendeley Recent Style Id 2_1">
    <vt:lpwstr>http://www.zotero.org/styles/archives-of-computational-methods-in-engineering</vt:lpwstr>
  </property>
  <property fmtid="{D5CDD505-2E9C-101B-9397-08002B2CF9AE}" pid="8" name="Mendeley Recent Style Name 2_1">
    <vt:lpwstr>Archives of Computational Methods in Engineering</vt:lpwstr>
  </property>
  <property fmtid="{D5CDD505-2E9C-101B-9397-08002B2CF9AE}" pid="9" name="Mendeley Recent Style Id 3_1">
    <vt:lpwstr>http://www.zotero.org/styles/cognitive-computation</vt:lpwstr>
  </property>
  <property fmtid="{D5CDD505-2E9C-101B-9397-08002B2CF9AE}" pid="10" name="Mendeley Recent Style Name 3_1">
    <vt:lpwstr>Cognitive Computation</vt:lpwstr>
  </property>
  <property fmtid="{D5CDD505-2E9C-101B-9397-08002B2CF9AE}" pid="11" name="Mendeley Recent Style Id 4_1">
    <vt:lpwstr>http://www.zotero.org/styles/computer-methods-in-applied-mechanics-and-engineering</vt:lpwstr>
  </property>
  <property fmtid="{D5CDD505-2E9C-101B-9397-08002B2CF9AE}" pid="12" name="Mendeley Recent Style Name 4_1">
    <vt:lpwstr>Computer Methods in Applied Mechanics and Engineering</vt:lpwstr>
  </property>
  <property fmtid="{D5CDD505-2E9C-101B-9397-08002B2CF9AE}" pid="13" name="Mendeley Recent Style Id 5_1">
    <vt:lpwstr>http://www.zotero.org/styles/expert-systems-with-applications</vt:lpwstr>
  </property>
  <property fmtid="{D5CDD505-2E9C-101B-9397-08002B2CF9AE}" pid="14" name="Mendeley Recent Style Name 5_1">
    <vt:lpwstr>Expert Systems With Applications</vt:lpwstr>
  </property>
  <property fmtid="{D5CDD505-2E9C-101B-9397-08002B2CF9AE}" pid="15" name="Mendeley Recent Style Id 6_1">
    <vt:lpwstr>http://www.zotero.org/styles/journal-of-industrial-information-integration</vt:lpwstr>
  </property>
  <property fmtid="{D5CDD505-2E9C-101B-9397-08002B2CF9AE}" pid="16" name="Mendeley Recent Style Name 6_1">
    <vt:lpwstr>Journal of Industrial Information Integration</vt:lpwstr>
  </property>
  <property fmtid="{D5CDD505-2E9C-101B-9397-08002B2CF9AE}" pid="17" name="Mendeley Recent Style Id 7_1">
    <vt:lpwstr>http://www.zotero.org/styles/neurocomputing</vt:lpwstr>
  </property>
  <property fmtid="{D5CDD505-2E9C-101B-9397-08002B2CF9AE}" pid="18" name="Mendeley Recent Style Name 7_1">
    <vt:lpwstr>Neurocomputing</vt:lpwstr>
  </property>
  <property fmtid="{D5CDD505-2E9C-101B-9397-08002B2CF9AE}" pid="19" name="Mendeley Recent Style Id 8_1">
    <vt:lpwstr>http://www.zotero.org/styles/plos-computational-biology</vt:lpwstr>
  </property>
  <property fmtid="{D5CDD505-2E9C-101B-9397-08002B2CF9AE}" pid="20" name="Mendeley Recent Style Name 8_1">
    <vt:lpwstr>PLOS Computational Biology</vt:lpwstr>
  </property>
  <property fmtid="{D5CDD505-2E9C-101B-9397-08002B2CF9AE}" pid="21" name="Mendeley Recent Style Id 9_1">
    <vt:lpwstr>http://www.zotero.org/styles/scientific-reports</vt:lpwstr>
  </property>
  <property fmtid="{D5CDD505-2E9C-101B-9397-08002B2CF9AE}" pid="22" name="Mendeley Recent Style Name 9_1">
    <vt:lpwstr>Scientific Reports</vt:lpwstr>
  </property>
  <property fmtid="{D5CDD505-2E9C-101B-9397-08002B2CF9AE}" pid="23" name="Mendeley Document_1">
    <vt:lpwstr>True</vt:lpwstr>
  </property>
  <property fmtid="{D5CDD505-2E9C-101B-9397-08002B2CF9AE}" pid="24" name="Mendeley Unique User Id_1">
    <vt:lpwstr>990778ff-20dd-3edc-9cc6-aa2f343654b2</vt:lpwstr>
  </property>
  <property fmtid="{D5CDD505-2E9C-101B-9397-08002B2CF9AE}" pid="25" name="Mendeley Citation Style_1">
    <vt:lpwstr>http://www.zotero.org/styles/neurocomputing</vt:lpwstr>
  </property>
</Properties>
</file>