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6E78"/>
          <w:sz w:val="16"/>
        </w:rPr>
        <w:t>IA NO SETOR PÚBLICO · ALUN BUSINESS</w:t>
      </w:r>
    </w:p>
    <w:p>
      <w:r>
        <w:rPr>
          <w:b/>
          <w:color w:val="14181C"/>
          <w:sz w:val="44"/>
        </w:rPr>
        <w:t>Kit de escala</w:t>
      </w:r>
    </w:p>
    <w:p>
      <w:r>
        <w:rPr>
          <w:i/>
          <w:color w:val="5A6470"/>
          <w:sz w:val="22"/>
        </w:rPr>
        <w:t>Centro de competência, governança federada e roadmap institucional</w:t>
      </w:r>
    </w:p>
    <w:p/>
    <w:p>
      <w:r>
        <w:rPr>
          <w:b/>
          <w:color w:val="0E6E78"/>
          <w:sz w:val="26"/>
        </w:rPr>
        <w:t>Modelo de centro de competência (preencher)</w:t>
      </w:r>
    </w:p>
    <w:p>
      <w:r>
        <w:rPr>
          <w:b/>
          <w:sz w:val="21"/>
        </w:rPr>
        <w:t xml:space="preserve">Missão do centro: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Papéis e composição: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Serviços que oferece: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Como as áreas acionam o centro: </w:t>
      </w:r>
      <w:r>
        <w:rPr>
          <w:color w:val="BBBBBB"/>
        </w:rPr>
        <w:t>____________________________________________________________</w:t>
      </w:r>
    </w:p>
    <w:p>
      <w:r>
        <w:rPr>
          <w:b/>
          <w:color w:val="0E6E78"/>
          <w:sz w:val="26"/>
        </w:rPr>
        <w:t>Governança federada</w:t>
      </w:r>
    </w:p>
    <w:p>
      <w:r>
        <w:rPr>
          <w:sz w:val="21"/>
        </w:rPr>
        <w:t>☐  Padrões comuns (dados, segurança, avaliação) definidos centralmente.</w:t>
      </w:r>
    </w:p>
    <w:p>
      <w:r>
        <w:rPr>
          <w:sz w:val="21"/>
        </w:rPr>
        <w:t>☐  Autonomia das áreas para executar dentro desses padrões.</w:t>
      </w:r>
    </w:p>
    <w:p>
      <w:r>
        <w:rPr>
          <w:sz w:val="21"/>
        </w:rPr>
        <w:t>☐  Processo de submissão e aprovação de novos casos.</w:t>
      </w:r>
    </w:p>
    <w:p>
      <w:r>
        <w:rPr>
          <w:b/>
          <w:color w:val="0E6E78"/>
          <w:sz w:val="26"/>
        </w:rPr>
        <w:t>Catálogo de componentes reutilizáveis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O que faz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Área de origem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Reutilizável por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  <w:color w:val="0E6E78"/>
          <w:sz w:val="26"/>
        </w:rPr>
        <w:t>Processo de submissão (4 passos)</w:t>
      </w:r>
    </w:p>
    <w:p>
      <w:r>
        <w:rPr>
          <w:color w:val="333333"/>
          <w:sz w:val="21"/>
        </w:rPr>
        <w:t>1. Proposta do caso (valor, viabilidade, risco).</w:t>
      </w:r>
    </w:p>
    <w:p>
      <w:r>
        <w:rPr>
          <w:color w:val="333333"/>
          <w:sz w:val="21"/>
        </w:rPr>
        <w:t>2. Avaliação pelo centro de competência.</w:t>
      </w:r>
    </w:p>
    <w:p>
      <w:r>
        <w:rPr>
          <w:color w:val="333333"/>
          <w:sz w:val="21"/>
        </w:rPr>
        <w:t>3. Aprovação e alocação de recursos.</w:t>
      </w:r>
    </w:p>
    <w:p>
      <w:r>
        <w:rPr>
          <w:color w:val="333333"/>
          <w:sz w:val="21"/>
        </w:rPr>
        <w:t>4. Registro no catálogo e no inventário.</w:t>
      </w:r>
    </w:p>
    <w:p>
      <w:r>
        <w:rPr>
          <w:b/>
          <w:color w:val="0E6E78"/>
          <w:sz w:val="26"/>
        </w:rPr>
        <w:t>Painel de benefícios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Linha de base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Meta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  <w:color w:val="0E6E78"/>
          <w:sz w:val="26"/>
        </w:rPr>
        <w:t>Roadmap institucional (preencher)</w:t>
      </w:r>
    </w:p>
    <w:p>
      <w:r>
        <w:rPr>
          <w:b/>
          <w:sz w:val="21"/>
        </w:rPr>
        <w:t xml:space="preserve">Curto prazo (0-6 meses):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Médio prazo (6-18 meses):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Longo prazo (18+ meses): </w:t>
      </w:r>
      <w:r>
        <w:rPr>
          <w:color w:val="BBBBBB"/>
        </w:rPr>
        <w:t>____________________________________________________________</w:t>
      </w:r>
    </w:p>
    <w:p/>
    <w:p>
      <w:r>
        <w:rPr>
          <w:i/>
          <w:color w:val="5A6470"/>
          <w:sz w:val="16"/>
        </w:rPr>
        <w:t>Modelo orientativo — adapte à realidade do seu órgão. Este material não substitui análise jurídica, técnica ou institucional. · alunbusiness.md/setorpublico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