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3.1 Corpus Construction</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The corpus was constructed specifically to support automatic analysis of Qur’anic recitation and Tajweed-rule detection, with particular emphasis on providing sufficient variation across riwāyāt and individual reciters. The audio material was collected from publicly available online sources containing complete Qur’anic recitations. Rather than restricting the dataset to a single recitation tradition, three widely used riwāyāt were considered: Ḥafṣ ʿan ʿĀṣim, Warsh ʿan Nāfiʿ, and Qālūn ʿan Nāfiʿ. This selection provides variation in pronunciation and phonetic realization while maintaining a well-defined Qur’anic textual reference. The three reading traditions are represented by five reciters each, resulting in 15 reciters in total.</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To obtain a consistent experimental scope, the corpus currently focuses on Juzʾ ʿAmma, corresponding to Sūrahs 78–114. Each reciter is therefore represented, where available, by the same set of 37 Sūrahs, resulting in a target of 555 full-Sūrah recordings. The corresponding canonical content comprises 564 āyāt per reciter, or 7,998 reciter–āyah instances across the complete corpus. Because the corpus is under active construction, a small number of recordings remain incomplete for some reciters; consequently, the number of available āyah recordings is slightly lower for several individual speakers.</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selection of reciters was guided primarily by representation of different reading traditions and inter-speaker variability. Five reciters were selected for each riwāyah, allowing the models to encounter differences in vocal characteristics, articulation, recitation rate, prosody, and acoustic realization while preserving the identity of the underlying reading tradition. This diversity is particularly important for Tajweed detection because acoustic manifestations of the same Tajweed rule may differ substantially between speakers. A model trained on recordings from a single reciter may consequently learn speaker-specific characteristics rather than the acoustic properties associated with the target Tajweed phenomenon.</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original recordings consist of MP3 audio files containing complete Sūrah recitations. The corpus contains approximately 14.14 hours of full-Sūrah audio. The recordings were subsequently processed to produce individual āyah-level clips, resulting in approximately 11.22 hours of segmented audio across the available reciters. For machine-learning experiments, the audio is decoded and standardized to mono, 16-kHz sampling rate, providing a consistent representation for subsequent acoustic-feature extraction and model training.</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corpus construction pipeline separates the original recordings from their derived segments and alignment metadata. Each reciter is organized according to the corresponding riwāyah, with separate directories for Ḥafṣ, Warsh, and Qālūn. Within each reciter directory, the audio/ folder contains the complete Sūrah recordings, whereas the ayat/ directory contains the corresponding individual āyah segments. In addition, timestamp information is maintained in JSON files, allowing every extracted segment to be associated with its position in the original Sūrah recording. This organization establishes a direct relationship between the original acoustic signal, the segmented āyah, and its textual reference.</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Segmentation was performed through a combination of automatic speech alignment and manual quality control. First, the complete Sūrah recordings were processed using two automatic alignment procedures. The resulting timestamps and recognized text were retained separately, allowing the outputs of the two alignment methods to be compared. These results were then reviewed and reconciled to produce a consolidated segmentation file for each Sūrah. The reviewed timestamps were subsequently used to extract the individual āyah-level MP3 files. This procedure reduces the risk that automatic recognition or alignment errors propagate directly into the final training data.</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Quality control was therefore applied at several stages of corpus preparation. At the recording level, files were checked for availability, readability, and correspondence with the intended Sūrah and reciter. At the segmentation level, automatically generated boundaries were compared across alignment methods and reviewed before being accepted as final timestamps. At the data-integrity level, the expected Sūrah and āyah counts were compared against the canonical Qur’anic structure, while missing or incomplete recordings were explicitly identified rather than silently treated as complete. The corpus metadata also records alignment confidence or scores, providing additional information for identifying potentially unreliable segments.</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Corpus diversity is particularly important for the development of reliable machine-learning models. Tajweed rules are realized through complex interactions between phonetic context, articulation, duration, resonance, and prosody. These acoustic characteristics can vary according to both the recitation tradition and the individual speaker. Consequently, increasing the number of reciters and riwāyāt helps reduce speaker-dependent and tradition-dependent bias, encouraging the model to learn features associated with the Tajweed phenomenon itself rather than characteristics specific to a particular recording. The multi-reciter, multi-riwāyah design therefore provides a more challenging and representative setting for evaluating the generalization capability of automatic Tajweed-rule detection systems.</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Overall, the resulting corpus combines multiple reading traditions, multiple reciters, complete Sūrah recordings, standardized āyah-level segments, textual references, and alignment metadata within a reproducible directory structure. This design provides the acoustic variability required for machine learning while retaining explicit links between each audio segment and its corresponding Qur’anic text, thereby establishing a suitable foundation for the subsequent Tajweed annotation, acoustic-feature extraction, model training, and evaluation stages.</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