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3.2 Annotation of Tajweed Rules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annotation stage was designed to provide rule-specific labels that capture the occurrence of Tajweed phenomena at the level of individual Qur’anic verses (Ayat). The annotation protocol was developed from established Tajweed references, including books and scholarly articles describing the linguistic and phonetic characteristics of the target rules. These textual descriptions were subsequently translated into explicit annotation criteria that could be applied consistently to the speech signal. The present study focuses on two Tajweed rules: Idgham and Qalqalah.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annotation process combined automatic rule identification with manual acoustic verification. A Python-based annotation script was developed to identify candidate occurrences from the textual Qur’anic content according to the formal definitions and conditions of each Tajweed rule. The corresponding acoustic parameters and temporal boundaries were then examined manually from the segmented audio recordings. The resulting annotations were finally reviewed and verified by a Tajweed expert to ensure conformity with the prescribed recitation rules.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3.2.1 Idgham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Definition</w:t>
      </w:r>
      <w:r w:rsidDel="00000000" w:rsidR="00000000" w:rsidRPr="00000000">
        <w:rPr>
          <w:rtl w:val="0"/>
        </w:rPr>
        <w:t xml:space="preserve">. </w:t>
      </w:r>
      <w:r w:rsidDel="00000000" w:rsidR="00000000" w:rsidRPr="00000000">
        <w:rPr>
          <w:rtl w:val="0"/>
        </w:rPr>
        <w:t xml:space="preserve">Idgham</w:t>
      </w:r>
      <w:r w:rsidDel="00000000" w:rsidR="00000000" w:rsidRPr="00000000">
        <w:rPr>
          <w:rtl w:val="0"/>
        </w:rPr>
        <w:t xml:space="preserve"> </w:t>
      </w:r>
      <w:r w:rsidDel="00000000" w:rsidR="00000000" w:rsidRPr="00000000">
        <w:rPr>
          <w:rtl w:val="0"/>
        </w:rPr>
        <w:t xml:space="preserve">refers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assimilation</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merging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Arabic</w:t>
      </w:r>
      <w:r w:rsidDel="00000000" w:rsidR="00000000" w:rsidRPr="00000000">
        <w:rPr>
          <w:rtl w:val="0"/>
        </w:rPr>
        <w:t xml:space="preserve"> </w:t>
      </w:r>
      <w:r w:rsidDel="00000000" w:rsidR="00000000" w:rsidRPr="00000000">
        <w:rPr>
          <w:rtl w:val="0"/>
        </w:rPr>
        <w:t xml:space="preserve">consonant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following</w:t>
      </w:r>
      <w:r w:rsidDel="00000000" w:rsidR="00000000" w:rsidRPr="00000000">
        <w:rPr>
          <w:rtl w:val="0"/>
        </w:rPr>
        <w:t xml:space="preserve"> </w:t>
      </w:r>
      <w:r w:rsidDel="00000000" w:rsidR="00000000" w:rsidRPr="00000000">
        <w:rPr>
          <w:rtl w:val="0"/>
        </w:rPr>
        <w:t xml:space="preserve">consonant</w:t>
      </w:r>
      <w:r w:rsidDel="00000000" w:rsidR="00000000" w:rsidRPr="00000000">
        <w:rPr>
          <w:rtl w:val="0"/>
        </w:rPr>
        <w:t xml:space="preserve"> </w:t>
      </w:r>
      <w:r w:rsidDel="00000000" w:rsidR="00000000" w:rsidRPr="00000000">
        <w:rPr>
          <w:rtl w:val="0"/>
        </w:rPr>
        <w:t xml:space="preserve">during</w:t>
      </w:r>
      <w:r w:rsidDel="00000000" w:rsidR="00000000" w:rsidRPr="00000000">
        <w:rPr>
          <w:rtl w:val="0"/>
        </w:rPr>
        <w:t xml:space="preserve"> </w:t>
      </w:r>
      <w:r w:rsidDel="00000000" w:rsidR="00000000" w:rsidRPr="00000000">
        <w:rPr>
          <w:rtl w:val="0"/>
        </w:rPr>
        <w:t xml:space="preserve">Qur</w:t>
      </w:r>
      <w:r w:rsidDel="00000000" w:rsidR="00000000" w:rsidRPr="00000000">
        <w:rPr>
          <w:rtl w:val="0"/>
        </w:rPr>
        <w:t xml:space="preserve">’</w:t>
      </w:r>
      <w:r w:rsidDel="00000000" w:rsidR="00000000" w:rsidRPr="00000000">
        <w:rPr>
          <w:rtl w:val="0"/>
        </w:rPr>
        <w:t xml:space="preserve">anic</w:t>
      </w:r>
      <w:r w:rsidDel="00000000" w:rsidR="00000000" w:rsidRPr="00000000">
        <w:rPr>
          <w:rtl w:val="0"/>
        </w:rPr>
        <w:t xml:space="preserve"> </w:t>
      </w:r>
      <w:r w:rsidDel="00000000" w:rsidR="00000000" w:rsidRPr="00000000">
        <w:rPr>
          <w:rtl w:val="0"/>
        </w:rPr>
        <w:t xml:space="preserve">recitation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context</w:t>
      </w:r>
      <w:r w:rsidDel="00000000" w:rsidR="00000000" w:rsidRPr="00000000">
        <w:rPr>
          <w:rtl w:val="0"/>
        </w:rPr>
        <w:t xml:space="preserve"> </w:t>
      </w:r>
      <w:r w:rsidDel="00000000" w:rsidR="00000000" w:rsidRPr="00000000">
        <w:rPr>
          <w:rtl w:val="0"/>
        </w:rPr>
        <w:t xml:space="preserve">considered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study</w:t>
      </w:r>
      <w:r w:rsidDel="00000000" w:rsidR="00000000" w:rsidRPr="00000000">
        <w:rPr>
          <w:rtl w:val="0"/>
        </w:rPr>
        <w:t xml:space="preserve">, </w:t>
      </w:r>
      <w:r w:rsidDel="00000000" w:rsidR="00000000" w:rsidRPr="00000000">
        <w:rPr>
          <w:rtl w:val="0"/>
        </w:rPr>
        <w:t xml:space="preserve">Idgham</w:t>
      </w:r>
      <w:r w:rsidDel="00000000" w:rsidR="00000000" w:rsidRPr="00000000">
        <w:rPr>
          <w:rtl w:val="0"/>
        </w:rPr>
        <w:t xml:space="preserve"> </w:t>
      </w:r>
      <w:r w:rsidDel="00000000" w:rsidR="00000000" w:rsidRPr="00000000">
        <w:rPr>
          <w:rtl w:val="0"/>
        </w:rPr>
        <w:t xml:space="preserve">primarily</w:t>
      </w:r>
      <w:r w:rsidDel="00000000" w:rsidR="00000000" w:rsidRPr="00000000">
        <w:rPr>
          <w:rtl w:val="0"/>
        </w:rPr>
        <w:t xml:space="preserve"> </w:t>
      </w:r>
      <w:r w:rsidDel="00000000" w:rsidR="00000000" w:rsidRPr="00000000">
        <w:rPr>
          <w:rtl w:val="0"/>
        </w:rPr>
        <w:t xml:space="preserve">concerns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assimilation</w:t>
      </w:r>
      <w:r w:rsidDel="00000000" w:rsidR="00000000" w:rsidRPr="00000000">
        <w:rPr>
          <w:rtl w:val="0"/>
        </w:rPr>
        <w:t xml:space="preserve"> </w:t>
      </w:r>
      <w:r w:rsidDel="00000000" w:rsidR="00000000" w:rsidRPr="00000000">
        <w:rPr>
          <w:rtl w:val="0"/>
        </w:rPr>
        <w:t xml:space="preserve">associated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Nun</w:t>
      </w:r>
      <w:r w:rsidDel="00000000" w:rsidR="00000000" w:rsidRPr="00000000">
        <w:rPr>
          <w:rtl w:val="0"/>
        </w:rPr>
        <w:t xml:space="preserve"> </w:t>
      </w:r>
      <w:r w:rsidDel="00000000" w:rsidR="00000000" w:rsidRPr="00000000">
        <w:rPr>
          <w:rtl w:val="0"/>
        </w:rPr>
        <w:t xml:space="preserve">Sakinah</w:t>
      </w:r>
      <w:r w:rsidDel="00000000" w:rsidR="00000000" w:rsidRPr="00000000">
        <w:rPr>
          <w:rtl w:val="0"/>
        </w:rPr>
        <w:t xml:space="preserve"> (</w:t>
      </w:r>
      <w:r w:rsidDel="00000000" w:rsidR="00000000" w:rsidRPr="00000000">
        <w:rPr>
          <w:rtl w:val="1"/>
        </w:rPr>
        <w:t xml:space="preserve">ن</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Tanween</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followed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designated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Idgham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process</w:t>
      </w:r>
      <w:r w:rsidDel="00000000" w:rsidR="00000000" w:rsidRPr="00000000">
        <w:rPr>
          <w:rtl w:val="0"/>
        </w:rPr>
        <w:t xml:space="preserve"> </w:t>
      </w:r>
      <w:r w:rsidDel="00000000" w:rsidR="00000000" w:rsidRPr="00000000">
        <w:rPr>
          <w:rtl w:val="0"/>
        </w:rPr>
        <w:t xml:space="preserve">results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perceptual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acoustic</w:t>
      </w:r>
      <w:r w:rsidDel="00000000" w:rsidR="00000000" w:rsidRPr="00000000">
        <w:rPr>
          <w:rtl w:val="0"/>
        </w:rPr>
        <w:t xml:space="preserve"> </w:t>
      </w:r>
      <w:r w:rsidDel="00000000" w:rsidR="00000000" w:rsidRPr="00000000">
        <w:rPr>
          <w:rtl w:val="0"/>
        </w:rPr>
        <w:t xml:space="preserve">transition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articulation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segment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integrated</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following</w:t>
      </w:r>
      <w:r w:rsidDel="00000000" w:rsidR="00000000" w:rsidRPr="00000000">
        <w:rPr>
          <w:rtl w:val="0"/>
        </w:rPr>
        <w:t xml:space="preserve"> </w:t>
      </w:r>
      <w:r w:rsidDel="00000000" w:rsidR="00000000" w:rsidRPr="00000000">
        <w:rPr>
          <w:rtl w:val="0"/>
        </w:rPr>
        <w:t xml:space="preserve">consonant</w:t>
      </w:r>
      <w:r w:rsidDel="00000000" w:rsidR="00000000" w:rsidRPr="00000000">
        <w:rPr>
          <w:rtl w:val="0"/>
        </w:rPr>
        <w:t xml:space="preserve">. </w:t>
      </w:r>
      <w:r w:rsidDel="00000000" w:rsidR="00000000" w:rsidRPr="00000000">
        <w:rPr>
          <w:rtl w:val="0"/>
        </w:rPr>
        <w:t xml:space="preserve">Depending</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specific</w:t>
      </w:r>
      <w:r w:rsidDel="00000000" w:rsidR="00000000" w:rsidRPr="00000000">
        <w:rPr>
          <w:rtl w:val="0"/>
        </w:rPr>
        <w:t xml:space="preserve"> </w:t>
      </w:r>
      <w:r w:rsidDel="00000000" w:rsidR="00000000" w:rsidRPr="00000000">
        <w:rPr>
          <w:rtl w:val="0"/>
        </w:rPr>
        <w:t xml:space="preserve">Idgham</w:t>
      </w:r>
      <w:r w:rsidDel="00000000" w:rsidR="00000000" w:rsidRPr="00000000">
        <w:rPr>
          <w:rtl w:val="0"/>
        </w:rPr>
        <w:t xml:space="preserve"> </w:t>
      </w:r>
      <w:r w:rsidDel="00000000" w:rsidR="00000000" w:rsidRPr="00000000">
        <w:rPr>
          <w:rtl w:val="0"/>
        </w:rPr>
        <w:t xml:space="preserve">category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realization</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also</w:t>
      </w:r>
      <w:r w:rsidDel="00000000" w:rsidR="00000000" w:rsidRPr="00000000">
        <w:rPr>
          <w:rtl w:val="0"/>
        </w:rPr>
        <w:t xml:space="preserve"> </w:t>
      </w:r>
      <w:r w:rsidDel="00000000" w:rsidR="00000000" w:rsidRPr="00000000">
        <w:rPr>
          <w:rtl w:val="0"/>
        </w:rPr>
        <w:t xml:space="preserve">involve</w:t>
      </w:r>
      <w:r w:rsidDel="00000000" w:rsidR="00000000" w:rsidRPr="00000000">
        <w:rPr>
          <w:rtl w:val="0"/>
        </w:rPr>
        <w:t xml:space="preserve"> </w:t>
      </w:r>
      <w:r w:rsidDel="00000000" w:rsidR="00000000" w:rsidRPr="00000000">
        <w:rPr>
          <w:rtl w:val="0"/>
        </w:rPr>
        <w:t xml:space="preserve">nasalization</w:t>
      </w:r>
      <w:r w:rsidDel="00000000" w:rsidR="00000000" w:rsidRPr="00000000">
        <w:rPr>
          <w:rtl w:val="0"/>
        </w:rPr>
        <w:t xml:space="preserve"> (</w:t>
      </w:r>
      <w:r w:rsidDel="00000000" w:rsidR="00000000" w:rsidRPr="00000000">
        <w:rPr>
          <w:rtl w:val="0"/>
        </w:rPr>
        <w:t xml:space="preserve">Ghunnah</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Acoustic properties. Acoustically, Idgham is characterized by a modification of the temporal and spectral structure at the boundary between the relevant consonants. The expected cues include a reduction or absence of a clearly independent realization of the first consonantal segment, increased temporal overlap between adjacent segments, and acoustic characteristics dominated by the following consonant. In cases involving Ghunnah, additional low-frequency energy and a characteristic nasal resonance may be observed. Consequently, the annotation considered both the expected phonological environment and the observable temporal characteristics of the speech signal rather than relying exclusively on orthographic information.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Annotation guidelines. Candidate Idgham occurrences were first identified from the Qur’anic text using the formal Tajweed conditions encoded in the Python annotation script. Each candidate was associated with its corresponding verse and audio segment. The annotator then examined the waveform and acoustic representation of the recording to determine the temporal location of the realization and to verify that the expected assimilation was present. The annotation boundaries were positioned to capture the relevant acoustic event while avoiding unrelated neighboring phonetic segments. Particular attention was given to cases in which coarticulation, recording quality, speaking rate, or adjacent phonetic contexts could make the boundary ambiguous.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3.2.2 Qalqalah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Definition</w:t>
      </w:r>
      <w:r w:rsidDel="00000000" w:rsidR="00000000" w:rsidRPr="00000000">
        <w:rPr>
          <w:rtl w:val="0"/>
        </w:rPr>
        <w:t xml:space="preserve">. </w:t>
      </w:r>
      <w:r w:rsidDel="00000000" w:rsidR="00000000" w:rsidRPr="00000000">
        <w:rPr>
          <w:rtl w:val="0"/>
        </w:rPr>
        <w:t xml:space="preserve">Qalqalah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characteristic</w:t>
      </w:r>
      <w:r w:rsidDel="00000000" w:rsidR="00000000" w:rsidRPr="00000000">
        <w:rPr>
          <w:rtl w:val="0"/>
        </w:rPr>
        <w:t xml:space="preserve"> </w:t>
      </w:r>
      <w:r w:rsidDel="00000000" w:rsidR="00000000" w:rsidRPr="00000000">
        <w:rPr>
          <w:rtl w:val="0"/>
        </w:rPr>
        <w:t xml:space="preserve">articulatory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acoustic</w:t>
      </w:r>
      <w:r w:rsidDel="00000000" w:rsidR="00000000" w:rsidRPr="00000000">
        <w:rPr>
          <w:rtl w:val="0"/>
        </w:rPr>
        <w:t xml:space="preserve"> </w:t>
      </w:r>
      <w:r w:rsidDel="00000000" w:rsidR="00000000" w:rsidRPr="00000000">
        <w:rPr>
          <w:rtl w:val="0"/>
        </w:rPr>
        <w:t xml:space="preserve">phenomenon</w:t>
      </w:r>
      <w:r w:rsidDel="00000000" w:rsidR="00000000" w:rsidRPr="00000000">
        <w:rPr>
          <w:rtl w:val="0"/>
        </w:rPr>
        <w:t xml:space="preserve"> </w:t>
      </w:r>
      <w:r w:rsidDel="00000000" w:rsidR="00000000" w:rsidRPr="00000000">
        <w:rPr>
          <w:rtl w:val="0"/>
        </w:rPr>
        <w:t xml:space="preserve">occurring</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five</w:t>
      </w:r>
      <w:r w:rsidDel="00000000" w:rsidR="00000000" w:rsidRPr="00000000">
        <w:rPr>
          <w:rtl w:val="0"/>
        </w:rPr>
        <w:t xml:space="preserve"> </w:t>
      </w:r>
      <w:r w:rsidDel="00000000" w:rsidR="00000000" w:rsidRPr="00000000">
        <w:rPr>
          <w:rtl w:val="0"/>
        </w:rPr>
        <w:t xml:space="preserve">Arabic</w:t>
      </w:r>
      <w:r w:rsidDel="00000000" w:rsidR="00000000" w:rsidRPr="00000000">
        <w:rPr>
          <w:rtl w:val="0"/>
        </w:rPr>
        <w:t xml:space="preserve"> </w:t>
      </w:r>
      <w:r w:rsidDel="00000000" w:rsidR="00000000" w:rsidRPr="00000000">
        <w:rPr>
          <w:rtl w:val="0"/>
        </w:rPr>
        <w:t xml:space="preserve">consonants</w:t>
      </w:r>
      <w:r w:rsidDel="00000000" w:rsidR="00000000" w:rsidRPr="00000000">
        <w:rPr>
          <w:rtl w:val="0"/>
        </w:rPr>
        <w:t xml:space="preserve"> </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ط</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د</w:t>
      </w:r>
      <w:r w:rsidDel="00000000" w:rsidR="00000000" w:rsidRPr="00000000">
        <w:rPr>
          <w:rtl w:val="0"/>
        </w:rPr>
        <w:t xml:space="preserve"> (</w:t>
      </w:r>
      <w:r w:rsidDel="00000000" w:rsidR="00000000" w:rsidRPr="00000000">
        <w:rPr>
          <w:rtl w:val="0"/>
        </w:rPr>
        <w:t xml:space="preserve">Qaf</w:t>
      </w:r>
      <w:r w:rsidDel="00000000" w:rsidR="00000000" w:rsidRPr="00000000">
        <w:rPr>
          <w:rtl w:val="0"/>
        </w:rPr>
        <w:t xml:space="preserve">, </w:t>
      </w:r>
      <w:r w:rsidDel="00000000" w:rsidR="00000000" w:rsidRPr="00000000">
        <w:rPr>
          <w:rtl w:val="0"/>
        </w:rPr>
        <w:t xml:space="preserve">Ta</w:t>
      </w:r>
      <w:r w:rsidDel="00000000" w:rsidR="00000000" w:rsidRPr="00000000">
        <w:rPr>
          <w:rtl w:val="0"/>
        </w:rPr>
        <w:t xml:space="preserve">, </w:t>
      </w:r>
      <w:r w:rsidDel="00000000" w:rsidR="00000000" w:rsidRPr="00000000">
        <w:rPr>
          <w:rtl w:val="0"/>
        </w:rPr>
        <w:t xml:space="preserve">Ba</w:t>
      </w:r>
      <w:r w:rsidDel="00000000" w:rsidR="00000000" w:rsidRPr="00000000">
        <w:rPr>
          <w:rtl w:val="0"/>
        </w:rPr>
        <w:t xml:space="preserve">, </w:t>
      </w:r>
      <w:r w:rsidDel="00000000" w:rsidR="00000000" w:rsidRPr="00000000">
        <w:rPr>
          <w:rtl w:val="0"/>
        </w:rPr>
        <w:t xml:space="preserve">Jim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Dal</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occur</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state</w:t>
      </w:r>
      <w:r w:rsidDel="00000000" w:rsidR="00000000" w:rsidRPr="00000000">
        <w:rPr>
          <w:rtl w:val="0"/>
        </w:rPr>
        <w:t xml:space="preserve"> </w:t>
      </w:r>
      <w:r w:rsidDel="00000000" w:rsidR="00000000" w:rsidRPr="00000000">
        <w:rPr>
          <w:rtl w:val="0"/>
        </w:rPr>
        <w:t xml:space="preserve">requiring</w:t>
      </w:r>
      <w:r w:rsidDel="00000000" w:rsidR="00000000" w:rsidRPr="00000000">
        <w:rPr>
          <w:rtl w:val="0"/>
        </w:rPr>
        <w:t xml:space="preserve"> </w:t>
      </w:r>
      <w:r w:rsidDel="00000000" w:rsidR="00000000" w:rsidRPr="00000000">
        <w:rPr>
          <w:rtl w:val="0"/>
        </w:rPr>
        <w:t xml:space="preserve">Qalqalah</w:t>
      </w:r>
      <w:r w:rsidDel="00000000" w:rsidR="00000000" w:rsidRPr="00000000">
        <w:rPr>
          <w:rtl w:val="0"/>
        </w:rPr>
        <w:t xml:space="preserve">, </w:t>
      </w:r>
      <w:r w:rsidDel="00000000" w:rsidR="00000000" w:rsidRPr="00000000">
        <w:rPr>
          <w:rtl w:val="0"/>
        </w:rPr>
        <w:t xml:space="preserve">particularly</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consonant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associated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sukun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rule</w:t>
      </w:r>
      <w:r w:rsidDel="00000000" w:rsidR="00000000" w:rsidRPr="00000000">
        <w:rPr>
          <w:rtl w:val="0"/>
        </w:rPr>
        <w:t xml:space="preserve"> </w:t>
      </w:r>
      <w:r w:rsidDel="00000000" w:rsidR="00000000" w:rsidRPr="00000000">
        <w:rPr>
          <w:rtl w:val="0"/>
        </w:rPr>
        <w:t xml:space="preserve">produces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perceptible</w:t>
      </w:r>
      <w:r w:rsidDel="00000000" w:rsidR="00000000" w:rsidRPr="00000000">
        <w:rPr>
          <w:rtl w:val="0"/>
        </w:rPr>
        <w:t xml:space="preserve"> </w:t>
      </w:r>
      <w:r w:rsidDel="00000000" w:rsidR="00000000" w:rsidRPr="00000000">
        <w:rPr>
          <w:rtl w:val="0"/>
        </w:rPr>
        <w:t xml:space="preserve">echo</w:t>
      </w:r>
      <w:r w:rsidDel="00000000" w:rsidR="00000000" w:rsidRPr="00000000">
        <w:rPr>
          <w:rtl w:val="0"/>
        </w:rPr>
        <w:t xml:space="preserve">-</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bouncing</w:t>
      </w:r>
      <w:r w:rsidDel="00000000" w:rsidR="00000000" w:rsidRPr="00000000">
        <w:rPr>
          <w:rtl w:val="0"/>
        </w:rPr>
        <w:t xml:space="preserve"> </w:t>
      </w:r>
      <w:r w:rsidDel="00000000" w:rsidR="00000000" w:rsidRPr="00000000">
        <w:rPr>
          <w:rtl w:val="0"/>
        </w:rPr>
        <w:t xml:space="preserve">quality</w:t>
      </w:r>
      <w:r w:rsidDel="00000000" w:rsidR="00000000" w:rsidRPr="00000000">
        <w:rPr>
          <w:rtl w:val="0"/>
        </w:rPr>
        <w:t xml:space="preserve"> </w:t>
      </w:r>
      <w:r w:rsidDel="00000000" w:rsidR="00000000" w:rsidRPr="00000000">
        <w:rPr>
          <w:rtl w:val="0"/>
        </w:rPr>
        <w:t xml:space="preserve">resulting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release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articulatory</w:t>
      </w:r>
      <w:r w:rsidDel="00000000" w:rsidR="00000000" w:rsidRPr="00000000">
        <w:rPr>
          <w:rtl w:val="0"/>
        </w:rPr>
        <w:t xml:space="preserve"> </w:t>
      </w:r>
      <w:r w:rsidDel="00000000" w:rsidR="00000000" w:rsidRPr="00000000">
        <w:rPr>
          <w:rtl w:val="0"/>
        </w:rPr>
        <w:t xml:space="preserve">closure</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introducing</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independent</w:t>
      </w:r>
      <w:r w:rsidDel="00000000" w:rsidR="00000000" w:rsidRPr="00000000">
        <w:rPr>
          <w:rtl w:val="0"/>
        </w:rPr>
        <w:t xml:space="preserve"> </w:t>
      </w:r>
      <w:r w:rsidDel="00000000" w:rsidR="00000000" w:rsidRPr="00000000">
        <w:rPr>
          <w:rtl w:val="0"/>
        </w:rPr>
        <w:t xml:space="preserve">vowel</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Acoustic properties. From an acoustic perspective, Qalqalah is primarily associated with a distinct consonantal release. Depending on the consonant and phonetic context, this release can be reflected by a transient increase in acoustic energy, a clear release burst, rapid spectral changes, and a short transition toward the neighboring segment. The temporal characteristics of the release and the presence of a brief acoustic event were therefore considered important cues during annotation. Because the acoustic realization of Qalqalah can vary with reciter, articulation, recording conditions, and surrounding phonetic context, the acoustic evidence was interpreted jointly with the corresponding textual Tajweed condition.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Annotation guidelines. Qalqalah candidates were automatically identified from the Qur’anic text based on the occurrence of the relevant letters and the contextual conditions specified by the Tajweed rules. The corresponding audio segments were subsequently inspected manually. Annotators identified the temporal region associated with the Qalqalah realization and verified that it corresponded to an eligible occurrence according to the Tajweed rule. Particular care was taken to distinguish an actual Qalqalah realization from ordinary consonantal release, especially in contexts where the acoustic distinction could be weak or obscured by neighboring sounds.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3.2.3 Annotation Workflow</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complete annotation workflow consisted of four principal steps: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Rule specification: Tajweed definitions and contextual conditions were extracted from established Tajweed books and relevant scholarly publications and converted into explicit annotation criteria.</w:t>
      </w:r>
    </w:p>
    <w:p w:rsidR="00000000" w:rsidDel="00000000" w:rsidP="00000000" w:rsidRDefault="00000000" w:rsidRPr="00000000" w14:paraId="0000001C">
      <w:pPr>
        <w:rPr/>
      </w:pPr>
      <w:r w:rsidDel="00000000" w:rsidR="00000000" w:rsidRPr="00000000">
        <w:rPr>
          <w:rtl w:val="0"/>
        </w:rPr>
        <w:t xml:space="preserve">Automatic candidate extraction: A Python script processed the textual Qur’anic material and identified candidate occurrences of Idgham and Qalqalah according to the predefined linguistic and orthographic conditions.</w:t>
      </w:r>
    </w:p>
    <w:p w:rsidR="00000000" w:rsidDel="00000000" w:rsidP="00000000" w:rsidRDefault="00000000" w:rsidRPr="00000000" w14:paraId="0000001D">
      <w:pPr>
        <w:rPr/>
      </w:pPr>
      <w:r w:rsidDel="00000000" w:rsidR="00000000" w:rsidRPr="00000000">
        <w:rPr>
          <w:rtl w:val="0"/>
        </w:rPr>
        <w:t xml:space="preserve">Manual acoustic annotation: For each candidate, the corresponding audio segment was inspected manually. Temporal boundaries and relevant acoustic parameters were determined from the speech signal.</w:t>
      </w:r>
    </w:p>
    <w:p w:rsidR="00000000" w:rsidDel="00000000" w:rsidP="00000000" w:rsidRDefault="00000000" w:rsidRPr="00000000" w14:paraId="0000001E">
      <w:pPr>
        <w:rPr/>
      </w:pPr>
      <w:r w:rsidDel="00000000" w:rsidR="00000000" w:rsidRPr="00000000">
        <w:rPr>
          <w:rtl w:val="0"/>
        </w:rPr>
        <w:t xml:space="preserve">Expert verification: The resulting annotations were reviewed by a Tajweed expert, who verified both the applicability of the rule and the correctness of the associated acoustic segmentation.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hybrid procedure was adopted to combine the scalability and reproducibility of rule-based computational annotation with the phonetic judgment required for reliable interpretation of Qur’anic recitation.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3.2.4 Annotation Consistency and Validation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To improve annotation consistency, the same operational definitions and decision criteria were applied throughout the corpus. The annotation script used deterministic textual rules to generate candidate occurrences, thereby reducing variability during the initial identification stage. Manual annotation was then performed according to predefined boundary criteria, with the annotators instructed to apply the same principles when determining the onset and offset of each acoustic event.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Following manual annotation, all labels underwent expert verification. Cases involving uncertain boundaries, weak acoustic realizations, or potentially ambiguous Tajweed conditions were specifically examined during this stage. An annotation was retained only when the linguistic condition and the acoustic realization were judged to be compatible with the corresponding Tajweed rule. This validation procedure helped reduce false-positive labels originating from purely orthographic matching.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Inter-annotator agreement was considered at the manual annotation stage by comparing independently determined labels and temporal boundaries. Agreement was assessed in terms of both categorical rule identification (whether an occurrence represented the target Tajweed rule) and temporal localization of the acoustic event. Disagreements were subsequently reviewed against the predefined annotation guidelines and resolved through expert adjudication. This procedure ensured that the final corpus annotations represented a consensus-based interpretation rather than an individual annotator's judgment.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Overall, the annotation methodology provides a reproducible framework in which textual Tajweed rules determine candidate occurrences, acoustic inspection determines their temporal realization, and expert verification establishes the final ground truth. This combination is particularly important for Tajweed research because the presence of a rule in the written Qur’anic text does not necessarily provide sufficient information about its precise acoustic realization in recorded recitation.</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