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657" w:rsidRPr="00EC5732" w:rsidRDefault="00FD0657" w:rsidP="00FD0657">
      <w:pPr>
        <w:shd w:val="clear" w:color="auto" w:fill="BFBFBF" w:themeFill="background1" w:themeFillShade="BF"/>
        <w:spacing w:after="0"/>
        <w:jc w:val="center"/>
        <w:rPr>
          <w:rFonts w:ascii="Book Antiqua" w:hAnsi="Book Antiqua"/>
          <w:b/>
          <w:bCs/>
          <w:sz w:val="26"/>
          <w:szCs w:val="26"/>
        </w:rPr>
      </w:pPr>
      <w:r w:rsidRPr="00EC5732">
        <w:rPr>
          <w:rFonts w:ascii="Book Antiqua" w:hAnsi="Book Antiqua"/>
          <w:b/>
          <w:bCs/>
          <w:sz w:val="26"/>
          <w:szCs w:val="26"/>
        </w:rPr>
        <w:t>Projet 1000 QBM</w:t>
      </w:r>
    </w:p>
    <w:p w:rsidR="00EC2C50" w:rsidRDefault="00EC2C50"/>
    <w:p w:rsidR="00FD0657" w:rsidRPr="00FD0657" w:rsidRDefault="00FD0657" w:rsidP="00FD0657">
      <w:pPr>
        <w:spacing w:after="0"/>
        <w:rPr>
          <w:sz w:val="28"/>
          <w:szCs w:val="28"/>
        </w:rPr>
      </w:pPr>
      <w:r w:rsidRPr="00FD0657">
        <w:rPr>
          <w:sz w:val="28"/>
          <w:szCs w:val="28"/>
        </w:rPr>
        <w:t>Correction des messages de présentation</w:t>
      </w:r>
    </w:p>
    <w:p w:rsidR="00FD0657" w:rsidRDefault="00FD0657" w:rsidP="00FD0657">
      <w:pPr>
        <w:spacing w:after="0"/>
        <w:rPr>
          <w:sz w:val="28"/>
          <w:szCs w:val="28"/>
        </w:rPr>
      </w:pPr>
    </w:p>
    <w:p w:rsidR="00FD0657" w:rsidRPr="007C521F" w:rsidRDefault="00FD0657" w:rsidP="00FD0657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 w:rsidRPr="007C521F">
        <w:rPr>
          <w:rFonts w:ascii="Book Antiqua" w:hAnsi="Book Antiqua"/>
          <w:b/>
          <w:bCs/>
          <w:sz w:val="24"/>
          <w:szCs w:val="24"/>
          <w:u w:val="single"/>
        </w:rPr>
        <w:t xml:space="preserve">Pour le Sage 2 : </w:t>
      </w:r>
    </w:p>
    <w:p w:rsidR="00FD0657" w:rsidRPr="007C521F" w:rsidRDefault="00FD0657" w:rsidP="00FD0657">
      <w:pPr>
        <w:spacing w:after="0"/>
        <w:rPr>
          <w:rFonts w:ascii="Book Antiqua" w:hAnsi="Book Antiqua"/>
          <w:sz w:val="24"/>
          <w:szCs w:val="24"/>
        </w:rPr>
      </w:pPr>
      <w:r w:rsidRPr="007C521F">
        <w:rPr>
          <w:rFonts w:ascii="Book Antiqua" w:hAnsi="Book Antiqua"/>
          <w:sz w:val="24"/>
          <w:szCs w:val="24"/>
        </w:rPr>
        <w:t>La période de l’Eglise : Actes et Epitres</w:t>
      </w:r>
    </w:p>
    <w:p w:rsidR="00FD0657" w:rsidRPr="007C521F" w:rsidRDefault="00FD0657" w:rsidP="00FD0657">
      <w:pPr>
        <w:spacing w:after="0"/>
        <w:rPr>
          <w:rFonts w:ascii="Book Antiqua" w:hAnsi="Book Antiqua"/>
          <w:sz w:val="24"/>
          <w:szCs w:val="24"/>
        </w:rPr>
      </w:pPr>
    </w:p>
    <w:p w:rsidR="00FD0657" w:rsidRPr="007C521F" w:rsidRDefault="00FD0657" w:rsidP="00FD0657">
      <w:pPr>
        <w:spacing w:after="0"/>
        <w:rPr>
          <w:rFonts w:ascii="Book Antiqua" w:hAnsi="Book Antiqua"/>
          <w:sz w:val="24"/>
          <w:szCs w:val="24"/>
          <w:u w:val="single"/>
        </w:rPr>
      </w:pPr>
      <w:r w:rsidRPr="007C521F">
        <w:rPr>
          <w:rFonts w:ascii="Book Antiqua" w:hAnsi="Book Antiqua"/>
          <w:sz w:val="24"/>
          <w:szCs w:val="24"/>
          <w:u w:val="single"/>
        </w:rPr>
        <w:t>Texte d’introduction :</w:t>
      </w:r>
    </w:p>
    <w:p w:rsidR="00FD0657" w:rsidRPr="00AA113B" w:rsidRDefault="00FD0657" w:rsidP="00FD0657">
      <w:pPr>
        <w:spacing w:after="0"/>
        <w:rPr>
          <w:rFonts w:ascii="Book Antiqua" w:hAnsi="Book Antiqua"/>
          <w:sz w:val="24"/>
          <w:szCs w:val="24"/>
        </w:rPr>
      </w:pPr>
      <w:r w:rsidRPr="00AA113B">
        <w:rPr>
          <w:rFonts w:ascii="Book Antiqua" w:hAnsi="Book Antiqua"/>
          <w:sz w:val="24"/>
          <w:szCs w:val="24"/>
        </w:rPr>
        <w:t>Cinquante jours après la résurrection</w:t>
      </w:r>
      <w:r>
        <w:rPr>
          <w:rFonts w:ascii="Book Antiqua" w:hAnsi="Book Antiqua"/>
          <w:sz w:val="24"/>
          <w:szCs w:val="24"/>
        </w:rPr>
        <w:t xml:space="preserve"> du Seigneur</w:t>
      </w:r>
      <w:r w:rsidRPr="00AA113B">
        <w:rPr>
          <w:rFonts w:ascii="Book Antiqua" w:hAnsi="Book Antiqua"/>
          <w:sz w:val="24"/>
          <w:szCs w:val="24"/>
        </w:rPr>
        <w:t>, un évènement « inattendu » et extraordi</w:t>
      </w:r>
      <w:r>
        <w:rPr>
          <w:rFonts w:ascii="Book Antiqua" w:hAnsi="Book Antiqua"/>
          <w:sz w:val="24"/>
          <w:szCs w:val="24"/>
        </w:rPr>
        <w:t>naire va se produire à</w:t>
      </w:r>
      <w:r w:rsidRPr="00AA113B">
        <w:rPr>
          <w:rFonts w:ascii="Book Antiqua" w:hAnsi="Book Antiqua"/>
          <w:sz w:val="24"/>
          <w:szCs w:val="24"/>
        </w:rPr>
        <w:t xml:space="preserve"> un jour ordinaire. En effet, «</w:t>
      </w:r>
      <w:r w:rsidRPr="00AA113B">
        <w:rPr>
          <w:rFonts w:ascii="Book Antiqua" w:hAnsi="Book Antiqua"/>
          <w:sz w:val="24"/>
          <w:szCs w:val="24"/>
          <w:vertAlign w:val="subscript"/>
        </w:rPr>
        <w:t>1</w:t>
      </w:r>
      <w:r w:rsidRPr="00AA113B">
        <w:rPr>
          <w:rFonts w:ascii="Book Antiqua" w:hAnsi="Book Antiqua"/>
          <w:sz w:val="24"/>
          <w:szCs w:val="24"/>
        </w:rPr>
        <w:t xml:space="preserve"> </w:t>
      </w:r>
      <w:r w:rsidRPr="00AA113B">
        <w:rPr>
          <w:rFonts w:ascii="Book Antiqua" w:hAnsi="Book Antiqua"/>
          <w:i/>
          <w:iCs/>
          <w:sz w:val="24"/>
          <w:szCs w:val="24"/>
        </w:rPr>
        <w:t>Quand le jour de la Pentecôte arriva</w:t>
      </w:r>
      <w:r>
        <w:rPr>
          <w:rFonts w:ascii="Book Antiqua" w:hAnsi="Book Antiqua"/>
          <w:i/>
          <w:iCs/>
          <w:sz w:val="24"/>
          <w:szCs w:val="24"/>
        </w:rPr>
        <w:t>…</w:t>
      </w:r>
      <w:r w:rsidRPr="00AA113B">
        <w:rPr>
          <w:rFonts w:ascii="Book Antiqua" w:hAnsi="Book Antiqua"/>
          <w:i/>
          <w:iCs/>
          <w:sz w:val="24"/>
          <w:szCs w:val="24"/>
        </w:rPr>
        <w:t>.</w:t>
      </w:r>
      <w:r w:rsidRPr="00AA113B">
        <w:rPr>
          <w:rFonts w:ascii="Book Antiqua" w:hAnsi="Book Antiqua"/>
          <w:i/>
          <w:iCs/>
          <w:sz w:val="24"/>
          <w:szCs w:val="24"/>
          <w:vertAlign w:val="subscript"/>
        </w:rPr>
        <w:t>2</w:t>
      </w:r>
      <w:r w:rsidRPr="00AA113B">
        <w:rPr>
          <w:rFonts w:ascii="Book Antiqua" w:hAnsi="Book Antiqua"/>
          <w:i/>
          <w:iCs/>
          <w:sz w:val="24"/>
          <w:szCs w:val="24"/>
        </w:rPr>
        <w:t xml:space="preserve"> Tout à coup, un grand bruit survint du ciel: </w:t>
      </w:r>
      <w:r>
        <w:rPr>
          <w:rFonts w:ascii="Book Antiqua" w:hAnsi="Book Antiqua"/>
          <w:i/>
          <w:iCs/>
          <w:sz w:val="24"/>
          <w:szCs w:val="24"/>
        </w:rPr>
        <w:t>….</w:t>
      </w:r>
      <w:r w:rsidRPr="00AA113B">
        <w:rPr>
          <w:rFonts w:ascii="Book Antiqua" w:hAnsi="Book Antiqua"/>
          <w:sz w:val="24"/>
          <w:szCs w:val="24"/>
        </w:rPr>
        <w:t> » (Actes 2 : 1- 2).</w:t>
      </w:r>
      <w:r>
        <w:rPr>
          <w:rFonts w:ascii="Book Antiqua" w:hAnsi="Book Antiqua"/>
          <w:sz w:val="24"/>
          <w:szCs w:val="24"/>
        </w:rPr>
        <w:t xml:space="preserve"> </w:t>
      </w:r>
      <w:r w:rsidRPr="00AA113B">
        <w:rPr>
          <w:rFonts w:ascii="Book Antiqua" w:hAnsi="Book Antiqua"/>
          <w:sz w:val="24"/>
          <w:szCs w:val="24"/>
        </w:rPr>
        <w:t>Ce jour-là, le Saint -Esprit descendit et la première communauté chrétienne vit le jour. C’est cette communauté,</w:t>
      </w:r>
      <w:r>
        <w:rPr>
          <w:rFonts w:ascii="Book Antiqua" w:hAnsi="Book Antiqua"/>
          <w:sz w:val="24"/>
          <w:szCs w:val="24"/>
        </w:rPr>
        <w:t xml:space="preserve"> qui,</w:t>
      </w:r>
      <w:r w:rsidRPr="00AA113B">
        <w:rPr>
          <w:rFonts w:ascii="Book Antiqua" w:hAnsi="Book Antiqua"/>
          <w:sz w:val="24"/>
          <w:szCs w:val="24"/>
        </w:rPr>
        <w:t xml:space="preserve"> sous l</w:t>
      </w:r>
      <w:r w:rsidR="007D0B28">
        <w:rPr>
          <w:rFonts w:ascii="Book Antiqua" w:hAnsi="Book Antiqua"/>
          <w:sz w:val="24"/>
          <w:szCs w:val="24"/>
        </w:rPr>
        <w:t>’égide du Saint-Esprit va être</w:t>
      </w:r>
      <w:r w:rsidRPr="00AA113B">
        <w:rPr>
          <w:rFonts w:ascii="Book Antiqua" w:hAnsi="Book Antiqua"/>
          <w:sz w:val="24"/>
          <w:szCs w:val="24"/>
        </w:rPr>
        <w:t xml:space="preserve">, le témoin du Seigneur, d’Abord </w:t>
      </w:r>
      <w:r w:rsidRPr="00AA113B">
        <w:rPr>
          <w:rFonts w:ascii="Book Antiqua" w:hAnsi="Book Antiqua"/>
          <w:i/>
          <w:iCs/>
          <w:sz w:val="24"/>
          <w:szCs w:val="24"/>
        </w:rPr>
        <w:t>à Jérusalem, dans toute la Judée et la Samarie, et jusqu'au bout du monde</w:t>
      </w:r>
      <w:r w:rsidRPr="00AA113B">
        <w:rPr>
          <w:rFonts w:ascii="Book Antiqua" w:hAnsi="Book Antiqua"/>
          <w:sz w:val="24"/>
          <w:szCs w:val="24"/>
        </w:rPr>
        <w:t xml:space="preserve">. Pendant que l’Evangile se </w:t>
      </w:r>
      <w:r w:rsidRPr="00AA113B">
        <w:rPr>
          <w:rFonts w:ascii="Book Antiqua" w:hAnsi="Book Antiqua"/>
          <w:sz w:val="24"/>
          <w:szCs w:val="24"/>
        </w:rPr>
        <w:t>répanda</w:t>
      </w:r>
      <w:r>
        <w:rPr>
          <w:rFonts w:ascii="Book Antiqua" w:hAnsi="Book Antiqua"/>
          <w:sz w:val="24"/>
          <w:szCs w:val="24"/>
        </w:rPr>
        <w:t xml:space="preserve">it, </w:t>
      </w:r>
      <w:r w:rsidRPr="00AA113B">
        <w:rPr>
          <w:rFonts w:ascii="Book Antiqua" w:hAnsi="Book Antiqua"/>
          <w:sz w:val="24"/>
          <w:szCs w:val="24"/>
        </w:rPr>
        <w:t xml:space="preserve"> des Lettres étaient écrites pour instruire et encourager les </w:t>
      </w:r>
      <w:r w:rsidRPr="00AA113B">
        <w:rPr>
          <w:rFonts w:ascii="Book Antiqua" w:hAnsi="Book Antiqua"/>
          <w:sz w:val="24"/>
          <w:szCs w:val="24"/>
        </w:rPr>
        <w:t>églises.</w:t>
      </w:r>
      <w:r w:rsidR="007D0B2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Ce Stage couvre une période d’à peu près 60 ans</w:t>
      </w:r>
      <w:r w:rsidR="007D0B28">
        <w:rPr>
          <w:rFonts w:ascii="Book Antiqua" w:hAnsi="Book Antiqua"/>
          <w:sz w:val="24"/>
          <w:szCs w:val="24"/>
        </w:rPr>
        <w:t>.</w:t>
      </w:r>
    </w:p>
    <w:p w:rsidR="00FD0657" w:rsidRDefault="00FD0657" w:rsidP="00FD0657">
      <w:pPr>
        <w:spacing w:after="0"/>
        <w:rPr>
          <w:sz w:val="28"/>
          <w:szCs w:val="28"/>
        </w:rPr>
      </w:pPr>
    </w:p>
    <w:p w:rsidR="007D0B28" w:rsidRPr="007D0B28" w:rsidRDefault="007D0B28" w:rsidP="007D0B28">
      <w:pPr>
        <w:spacing w:after="0"/>
        <w:rPr>
          <w:rFonts w:ascii="Book Antiqua" w:hAnsi="Book Antiqua"/>
          <w:b/>
          <w:bCs/>
          <w:sz w:val="26"/>
          <w:szCs w:val="26"/>
          <w:u w:val="single"/>
        </w:rPr>
      </w:pPr>
      <w:r w:rsidRPr="002179D5">
        <w:rPr>
          <w:rFonts w:ascii="Book Antiqua" w:hAnsi="Book Antiqua"/>
          <w:b/>
          <w:bCs/>
          <w:sz w:val="26"/>
          <w:szCs w:val="26"/>
          <w:u w:val="single"/>
        </w:rPr>
        <w:t xml:space="preserve">Pour le Stage 5 : </w:t>
      </w:r>
    </w:p>
    <w:p w:rsidR="007D0B28" w:rsidRDefault="007D0B28" w:rsidP="007D0B28">
      <w:pPr>
        <w:spacing w:after="0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Période exilique et postexilique </w:t>
      </w:r>
    </w:p>
    <w:p w:rsidR="007D0B28" w:rsidRDefault="007D0B28" w:rsidP="007D0B28">
      <w:pPr>
        <w:spacing w:after="0"/>
        <w:rPr>
          <w:rFonts w:ascii="Book Antiqua" w:hAnsi="Book Antiqua"/>
          <w:sz w:val="26"/>
          <w:szCs w:val="26"/>
        </w:rPr>
      </w:pPr>
    </w:p>
    <w:p w:rsidR="007D0B28" w:rsidRPr="007D0B28" w:rsidRDefault="007D0B28" w:rsidP="007D0B28">
      <w:pPr>
        <w:spacing w:after="0"/>
        <w:rPr>
          <w:rFonts w:ascii="Book Antiqua" w:hAnsi="Book Antiqua"/>
          <w:sz w:val="26"/>
          <w:szCs w:val="26"/>
          <w:u w:val="single"/>
        </w:rPr>
      </w:pPr>
      <w:r w:rsidRPr="00951913">
        <w:rPr>
          <w:rFonts w:ascii="Book Antiqua" w:hAnsi="Book Antiqua"/>
          <w:sz w:val="26"/>
          <w:szCs w:val="26"/>
          <w:u w:val="single"/>
        </w:rPr>
        <w:t>Texte d’introduction :</w:t>
      </w:r>
    </w:p>
    <w:p w:rsidR="007D0B28" w:rsidRPr="0044787E" w:rsidRDefault="007D0B28" w:rsidP="007D0B28">
      <w:pPr>
        <w:spacing w:after="0"/>
        <w:rPr>
          <w:rFonts w:ascii="Book Antiqua" w:hAnsi="Book Antiqua"/>
          <w:sz w:val="24"/>
          <w:szCs w:val="24"/>
        </w:rPr>
      </w:pPr>
      <w:r w:rsidRPr="0044787E">
        <w:rPr>
          <w:rFonts w:ascii="Book Antiqua" w:hAnsi="Book Antiqua"/>
          <w:sz w:val="24"/>
          <w:szCs w:val="24"/>
        </w:rPr>
        <w:t>« </w:t>
      </w:r>
      <w:r w:rsidRPr="0044787E">
        <w:rPr>
          <w:rFonts w:ascii="Book Antiqua" w:hAnsi="Book Antiqua"/>
          <w:sz w:val="24"/>
          <w:szCs w:val="24"/>
          <w:vertAlign w:val="subscript"/>
        </w:rPr>
        <w:t>11</w:t>
      </w:r>
      <w:r w:rsidRPr="0044787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787E">
        <w:rPr>
          <w:rFonts w:ascii="Book Antiqua" w:hAnsi="Book Antiqua"/>
          <w:i/>
          <w:iCs/>
          <w:sz w:val="24"/>
          <w:szCs w:val="24"/>
        </w:rPr>
        <w:t>Nebouzaradân</w:t>
      </w:r>
      <w:proofErr w:type="spellEnd"/>
      <w:r w:rsidRPr="0044787E">
        <w:rPr>
          <w:rFonts w:ascii="Book Antiqua" w:hAnsi="Book Antiqua"/>
          <w:i/>
          <w:iCs/>
          <w:sz w:val="24"/>
          <w:szCs w:val="24"/>
        </w:rPr>
        <w:t>, chef de la garde impériale, déporta le reste de la population qui était demeuré d</w:t>
      </w:r>
      <w:r>
        <w:rPr>
          <w:rFonts w:ascii="Book Antiqua" w:hAnsi="Book Antiqua"/>
          <w:i/>
          <w:iCs/>
          <w:sz w:val="24"/>
          <w:szCs w:val="24"/>
        </w:rPr>
        <w:t>ans la ville, …</w:t>
      </w:r>
      <w:r w:rsidRPr="0044787E">
        <w:rPr>
          <w:rFonts w:ascii="Book Antiqua" w:hAnsi="Book Antiqua"/>
          <w:i/>
          <w:iCs/>
          <w:sz w:val="24"/>
          <w:szCs w:val="24"/>
        </w:rPr>
        <w:t>.</w:t>
      </w:r>
      <w:r w:rsidRPr="0044787E">
        <w:rPr>
          <w:rFonts w:ascii="Book Antiqua" w:hAnsi="Book Antiqua"/>
          <w:sz w:val="24"/>
          <w:szCs w:val="24"/>
        </w:rPr>
        <w:t> » (</w:t>
      </w:r>
      <w:r w:rsidRPr="0044787E">
        <w:rPr>
          <w:rFonts w:ascii="Book Antiqua" w:hAnsi="Book Antiqua"/>
          <w:b/>
          <w:bCs/>
          <w:sz w:val="24"/>
          <w:szCs w:val="24"/>
        </w:rPr>
        <w:t>2 Rois 25 : 11)</w:t>
      </w:r>
      <w:r>
        <w:rPr>
          <w:rFonts w:ascii="Book Antiqua" w:hAnsi="Book Antiqua"/>
          <w:b/>
          <w:bCs/>
          <w:sz w:val="24"/>
          <w:szCs w:val="24"/>
        </w:rPr>
        <w:t xml:space="preserve">. </w:t>
      </w:r>
      <w:r w:rsidRPr="0044787E">
        <w:rPr>
          <w:rFonts w:ascii="Book Antiqua" w:hAnsi="Book Antiqua"/>
          <w:sz w:val="24"/>
          <w:szCs w:val="24"/>
        </w:rPr>
        <w:t xml:space="preserve">Voici un des derniers versets de l’histoire des rois de Juda. </w:t>
      </w:r>
      <w:r>
        <w:rPr>
          <w:rFonts w:ascii="Book Antiqua" w:hAnsi="Book Antiqua"/>
          <w:sz w:val="24"/>
          <w:szCs w:val="24"/>
        </w:rPr>
        <w:t>Juda partît en</w:t>
      </w:r>
      <w:r w:rsidRPr="0044787E">
        <w:rPr>
          <w:rFonts w:ascii="Book Antiqua" w:hAnsi="Book Antiqua"/>
          <w:sz w:val="24"/>
          <w:szCs w:val="24"/>
        </w:rPr>
        <w:t xml:space="preserve"> l’exil pendan</w:t>
      </w:r>
      <w:r>
        <w:rPr>
          <w:rFonts w:ascii="Book Antiqua" w:hAnsi="Book Antiqua"/>
          <w:sz w:val="24"/>
          <w:szCs w:val="24"/>
        </w:rPr>
        <w:t>t que Sédécias était roi</w:t>
      </w:r>
      <w:r w:rsidRPr="0044787E">
        <w:rPr>
          <w:rFonts w:ascii="Book Antiqua" w:hAnsi="Book Antiqua"/>
          <w:sz w:val="24"/>
          <w:szCs w:val="24"/>
        </w:rPr>
        <w:t xml:space="preserve">, </w:t>
      </w:r>
      <w:r>
        <w:rPr>
          <w:rFonts w:ascii="Book Antiqua" w:hAnsi="Book Antiqua"/>
          <w:sz w:val="24"/>
          <w:szCs w:val="24"/>
        </w:rPr>
        <w:t xml:space="preserve">lui </w:t>
      </w:r>
      <w:r w:rsidRPr="0044787E">
        <w:rPr>
          <w:rFonts w:ascii="Book Antiqua" w:hAnsi="Book Antiqua"/>
          <w:sz w:val="24"/>
          <w:szCs w:val="24"/>
        </w:rPr>
        <w:t xml:space="preserve">qui avait </w:t>
      </w:r>
      <w:r>
        <w:rPr>
          <w:rFonts w:ascii="Book Antiqua" w:hAnsi="Book Antiqua"/>
          <w:sz w:val="24"/>
          <w:szCs w:val="24"/>
        </w:rPr>
        <w:t>refusé d’écouter</w:t>
      </w:r>
      <w:r w:rsidRPr="0044787E">
        <w:rPr>
          <w:rFonts w:ascii="Book Antiqua" w:hAnsi="Book Antiqua"/>
          <w:sz w:val="24"/>
          <w:szCs w:val="24"/>
        </w:rPr>
        <w:t xml:space="preserve"> Jérémie. Plus tard, </w:t>
      </w:r>
      <w:r w:rsidRPr="0044787E">
        <w:rPr>
          <w:rFonts w:ascii="Times New Roman" w:hAnsi="Times New Roman" w:cs="Times New Roman"/>
          <w:sz w:val="24"/>
          <w:szCs w:val="24"/>
        </w:rPr>
        <w:t xml:space="preserve">le retour de l'Exil se fait </w:t>
      </w:r>
      <w:r>
        <w:rPr>
          <w:rFonts w:ascii="Book Antiqua" w:hAnsi="Book Antiqua"/>
          <w:sz w:val="24"/>
          <w:szCs w:val="24"/>
        </w:rPr>
        <w:t xml:space="preserve">sous Cyrus </w:t>
      </w:r>
      <w:r w:rsidRPr="0044787E">
        <w:rPr>
          <w:rFonts w:ascii="Book Antiqua" w:hAnsi="Book Antiqua"/>
          <w:sz w:val="24"/>
          <w:szCs w:val="24"/>
        </w:rPr>
        <w:t xml:space="preserve"> (</w:t>
      </w:r>
      <w:r w:rsidRPr="0044787E">
        <w:rPr>
          <w:rFonts w:ascii="Book Antiqua" w:hAnsi="Book Antiqua"/>
          <w:b/>
          <w:bCs/>
          <w:sz w:val="24"/>
          <w:szCs w:val="24"/>
        </w:rPr>
        <w:t>Esdras 1:1</w:t>
      </w:r>
      <w:r w:rsidRPr="0044787E">
        <w:rPr>
          <w:rFonts w:ascii="Book Antiqua" w:hAnsi="Book Antiqua"/>
          <w:sz w:val="24"/>
          <w:szCs w:val="24"/>
        </w:rPr>
        <w:t xml:space="preserve">) </w:t>
      </w:r>
      <w:r>
        <w:rPr>
          <w:rFonts w:ascii="Book Antiqua" w:hAnsi="Book Antiqua"/>
          <w:sz w:val="24"/>
          <w:szCs w:val="24"/>
        </w:rPr>
        <w:t>que l'on peut fixer en 538/537</w:t>
      </w:r>
      <w:r w:rsidRPr="0044787E">
        <w:rPr>
          <w:rFonts w:ascii="Book Antiqua" w:hAnsi="Book Antiqua"/>
          <w:sz w:val="24"/>
          <w:szCs w:val="24"/>
        </w:rPr>
        <w:t>. Pendant cette période, des prophètes comme Aggée</w:t>
      </w:r>
      <w:r>
        <w:rPr>
          <w:rFonts w:ascii="Book Antiqua" w:hAnsi="Book Antiqua"/>
          <w:sz w:val="24"/>
          <w:szCs w:val="24"/>
        </w:rPr>
        <w:t>,</w:t>
      </w:r>
      <w:r w:rsidRPr="0044787E">
        <w:rPr>
          <w:rFonts w:ascii="Book Antiqua" w:hAnsi="Book Antiqua"/>
          <w:sz w:val="24"/>
          <w:szCs w:val="24"/>
        </w:rPr>
        <w:t xml:space="preserve"> Zacharie </w:t>
      </w:r>
      <w:r>
        <w:rPr>
          <w:rFonts w:ascii="Book Antiqua" w:hAnsi="Book Antiqua"/>
          <w:sz w:val="24"/>
          <w:szCs w:val="24"/>
        </w:rPr>
        <w:t xml:space="preserve">et </w:t>
      </w:r>
      <w:r w:rsidRPr="0044787E">
        <w:rPr>
          <w:rFonts w:ascii="Book Antiqua" w:hAnsi="Book Antiqua"/>
          <w:sz w:val="24"/>
          <w:szCs w:val="24"/>
        </w:rPr>
        <w:t>Malachie</w:t>
      </w:r>
      <w:r w:rsidRPr="0044787E">
        <w:rPr>
          <w:rFonts w:ascii="Book Antiqua" w:hAnsi="Book Antiqua"/>
          <w:sz w:val="24"/>
          <w:szCs w:val="24"/>
        </w:rPr>
        <w:t xml:space="preserve"> </w:t>
      </w:r>
      <w:r w:rsidRPr="0044787E">
        <w:rPr>
          <w:rFonts w:ascii="Book Antiqua" w:hAnsi="Book Antiqua"/>
          <w:sz w:val="24"/>
          <w:szCs w:val="24"/>
        </w:rPr>
        <w:t>o</w:t>
      </w:r>
      <w:r w:rsidR="00D86D42">
        <w:rPr>
          <w:rFonts w:ascii="Book Antiqua" w:hAnsi="Book Antiqua"/>
          <w:sz w:val="24"/>
          <w:szCs w:val="24"/>
        </w:rPr>
        <w:t>nt été très actifs</w:t>
      </w:r>
      <w:r w:rsidRPr="0044787E">
        <w:rPr>
          <w:rFonts w:ascii="Book Antiqua" w:hAnsi="Book Antiqua"/>
          <w:sz w:val="24"/>
          <w:szCs w:val="24"/>
        </w:rPr>
        <w:t>.</w:t>
      </w:r>
      <w:r>
        <w:rPr>
          <w:rFonts w:ascii="Book Antiqua" w:hAnsi="Book Antiqua"/>
          <w:sz w:val="24"/>
          <w:szCs w:val="24"/>
        </w:rPr>
        <w:t xml:space="preserve"> </w:t>
      </w:r>
      <w:r w:rsidRPr="0044787E">
        <w:rPr>
          <w:rFonts w:ascii="Book Antiqua" w:hAnsi="Book Antiqua"/>
          <w:sz w:val="24"/>
          <w:szCs w:val="24"/>
        </w:rPr>
        <w:t>A cette époque, Zorobabel, Néhémie e</w:t>
      </w:r>
      <w:r>
        <w:rPr>
          <w:rFonts w:ascii="Book Antiqua" w:hAnsi="Book Antiqua"/>
          <w:sz w:val="24"/>
          <w:szCs w:val="24"/>
        </w:rPr>
        <w:t xml:space="preserve">t Esdras ont joué un grand </w:t>
      </w:r>
      <w:r w:rsidRPr="0044787E">
        <w:rPr>
          <w:rFonts w:ascii="Book Antiqua" w:hAnsi="Book Antiqua"/>
          <w:sz w:val="24"/>
          <w:szCs w:val="24"/>
        </w:rPr>
        <w:t xml:space="preserve"> rôle</w:t>
      </w:r>
      <w:r>
        <w:rPr>
          <w:rFonts w:ascii="Book Antiqua" w:hAnsi="Book Antiqua"/>
          <w:sz w:val="24"/>
          <w:szCs w:val="24"/>
        </w:rPr>
        <w:t>,</w:t>
      </w:r>
      <w:r w:rsidRPr="0044787E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d</w:t>
      </w:r>
      <w:r w:rsidRPr="0044787E">
        <w:rPr>
          <w:rFonts w:ascii="Book Antiqua" w:hAnsi="Book Antiqua"/>
          <w:sz w:val="24"/>
          <w:szCs w:val="24"/>
        </w:rPr>
        <w:t>u retour d’exil, à la reconst</w:t>
      </w:r>
      <w:r>
        <w:rPr>
          <w:rFonts w:ascii="Book Antiqua" w:hAnsi="Book Antiqua"/>
          <w:sz w:val="24"/>
          <w:szCs w:val="24"/>
        </w:rPr>
        <w:t>ruction des murs de Jérusalem,</w:t>
      </w:r>
      <w:r w:rsidRPr="0044787E">
        <w:rPr>
          <w:rFonts w:ascii="Book Antiqua" w:hAnsi="Book Antiqua"/>
          <w:sz w:val="24"/>
          <w:szCs w:val="24"/>
        </w:rPr>
        <w:t xml:space="preserve"> à la reconstruction du </w:t>
      </w:r>
      <w:r>
        <w:rPr>
          <w:rFonts w:ascii="Book Antiqua" w:hAnsi="Book Antiqua"/>
          <w:sz w:val="24"/>
          <w:szCs w:val="24"/>
        </w:rPr>
        <w:t xml:space="preserve">Temple et à la restauration du culte de </w:t>
      </w:r>
      <w:bookmarkStart w:id="0" w:name="_GoBack"/>
      <w:bookmarkEnd w:id="0"/>
      <w:r w:rsidR="00D86D42">
        <w:rPr>
          <w:rFonts w:ascii="Book Antiqua" w:hAnsi="Book Antiqua"/>
          <w:sz w:val="24"/>
          <w:szCs w:val="24"/>
        </w:rPr>
        <w:t>l’Eternel</w:t>
      </w:r>
      <w:r w:rsidR="00D86D42" w:rsidRPr="0044787E">
        <w:rPr>
          <w:rFonts w:ascii="Book Antiqua" w:hAnsi="Book Antiqua"/>
          <w:sz w:val="24"/>
          <w:szCs w:val="24"/>
        </w:rPr>
        <w:t>.</w:t>
      </w:r>
    </w:p>
    <w:p w:rsidR="00FD0657" w:rsidRDefault="00FD0657" w:rsidP="00FD0657">
      <w:pPr>
        <w:spacing w:after="0"/>
        <w:rPr>
          <w:sz w:val="28"/>
          <w:szCs w:val="28"/>
        </w:rPr>
      </w:pPr>
    </w:p>
    <w:p w:rsidR="00FD0657" w:rsidRDefault="00FD0657" w:rsidP="00FD0657">
      <w:pPr>
        <w:spacing w:after="0"/>
        <w:rPr>
          <w:sz w:val="28"/>
          <w:szCs w:val="28"/>
        </w:rPr>
      </w:pPr>
    </w:p>
    <w:p w:rsidR="007D0B28" w:rsidRDefault="007D0B28" w:rsidP="00FD0657">
      <w:pPr>
        <w:spacing w:after="0"/>
        <w:rPr>
          <w:sz w:val="28"/>
          <w:szCs w:val="28"/>
        </w:rPr>
      </w:pPr>
    </w:p>
    <w:p w:rsidR="007D0B28" w:rsidRDefault="007D0B28" w:rsidP="00FD0657">
      <w:pPr>
        <w:spacing w:after="0"/>
        <w:rPr>
          <w:sz w:val="28"/>
          <w:szCs w:val="28"/>
        </w:rPr>
      </w:pPr>
    </w:p>
    <w:p w:rsidR="007D0B28" w:rsidRPr="00FD0657" w:rsidRDefault="007D0B28" w:rsidP="00FD0657">
      <w:pPr>
        <w:spacing w:after="0"/>
        <w:rPr>
          <w:sz w:val="28"/>
          <w:szCs w:val="28"/>
        </w:rPr>
      </w:pPr>
    </w:p>
    <w:p w:rsidR="00FD0657" w:rsidRPr="00FD0657" w:rsidRDefault="00FD0657" w:rsidP="00FD0657">
      <w:pPr>
        <w:spacing w:after="0"/>
        <w:rPr>
          <w:sz w:val="28"/>
          <w:szCs w:val="28"/>
        </w:rPr>
      </w:pPr>
    </w:p>
    <w:p w:rsidR="00FD0657" w:rsidRPr="00FD0657" w:rsidRDefault="00FD0657" w:rsidP="00FD0657">
      <w:pPr>
        <w:spacing w:after="0"/>
        <w:rPr>
          <w:sz w:val="28"/>
          <w:szCs w:val="28"/>
        </w:rPr>
      </w:pPr>
    </w:p>
    <w:p w:rsidR="00FD0657" w:rsidRPr="00FD0657" w:rsidRDefault="00FD0657" w:rsidP="00FD0657">
      <w:pPr>
        <w:spacing w:after="0"/>
        <w:rPr>
          <w:sz w:val="28"/>
          <w:szCs w:val="28"/>
        </w:rPr>
      </w:pPr>
    </w:p>
    <w:p w:rsidR="00FD0657" w:rsidRPr="00FD0657" w:rsidRDefault="00FD0657" w:rsidP="00FD0657">
      <w:pPr>
        <w:spacing w:after="0"/>
        <w:rPr>
          <w:sz w:val="28"/>
          <w:szCs w:val="28"/>
        </w:rPr>
      </w:pPr>
    </w:p>
    <w:p w:rsidR="00FD0657" w:rsidRDefault="00FD0657"/>
    <w:p w:rsidR="00FD0657" w:rsidRDefault="00FD0657"/>
    <w:sectPr w:rsidR="00FD0657" w:rsidSect="00D86D42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657"/>
    <w:rsid w:val="007D0B28"/>
    <w:rsid w:val="00D86D42"/>
    <w:rsid w:val="00EC2C50"/>
    <w:rsid w:val="00FD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E5C114-EBE5-489D-BBAF-A9323D00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0657"/>
    <w:rPr>
      <w:lang w:val="fr-C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ICOC1</dc:creator>
  <cp:keywords/>
  <dc:description/>
  <cp:lastModifiedBy>ICOC1</cp:lastModifiedBy>
  <cp:revision>1</cp:revision>
  <dcterms:created xsi:type="dcterms:W3CDTF">2023-11-29T12:35:00Z</dcterms:created>
  <dcterms:modified xsi:type="dcterms:W3CDTF">2023-11-29T13:02:00Z</dcterms:modified>
</cp:coreProperties>
</file>