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D622F">
      <w:pPr>
        <w:spacing w:before="80"/>
        <w:jc w:val="center"/>
        <w:rPr>
          <w:rFonts w:ascii="黑体" w:hAnsi="黑体" w:eastAsia="黑体"/>
          <w:b/>
          <w:color w:val="000000"/>
          <w:sz w:val="32"/>
        </w:rPr>
      </w:pPr>
    </w:p>
    <w:p w14:paraId="1F6B3A31">
      <w:pPr>
        <w:spacing w:before="80"/>
        <w:jc w:val="center"/>
        <w:rPr>
          <w:rFonts w:ascii="黑体" w:hAnsi="黑体" w:eastAsia="黑体"/>
          <w:b/>
          <w:color w:val="000000"/>
          <w:sz w:val="32"/>
        </w:rPr>
      </w:pPr>
    </w:p>
    <w:p w14:paraId="6FA9C40B">
      <w:pPr>
        <w:spacing w:before="80"/>
        <w:jc w:val="center"/>
        <w:rPr>
          <w:rFonts w:ascii="黑体" w:hAnsi="黑体" w:eastAsia="黑体"/>
          <w:b/>
          <w:color w:val="000000"/>
          <w:sz w:val="32"/>
        </w:rPr>
      </w:pPr>
    </w:p>
    <w:p w14:paraId="0ECB6FC2">
      <w:pPr>
        <w:spacing w:before="80"/>
        <w:jc w:val="center"/>
        <w:rPr>
          <w:rFonts w:ascii="黑体" w:hAnsi="黑体" w:eastAsia="黑体"/>
          <w:b/>
          <w:color w:val="000000"/>
          <w:sz w:val="32"/>
        </w:rPr>
      </w:pPr>
    </w:p>
    <w:p w14:paraId="02C0A2C4">
      <w:pPr>
        <w:spacing w:before="80"/>
        <w:jc w:val="center"/>
        <w:rPr>
          <w:rFonts w:ascii="黑体" w:hAnsi="黑体" w:eastAsia="黑体"/>
          <w:b/>
          <w:color w:val="000000"/>
          <w:sz w:val="32"/>
        </w:rPr>
      </w:pPr>
    </w:p>
    <w:p w14:paraId="64083563">
      <w:pPr>
        <w:spacing w:before="80"/>
        <w:jc w:val="center"/>
        <w:rPr>
          <w:sz w:val="32"/>
          <w:szCs w:val="28"/>
        </w:rPr>
      </w:pPr>
      <w:r>
        <w:rPr>
          <w:rFonts w:ascii="黑体" w:hAnsi="黑体" w:eastAsia="黑体"/>
          <w:b/>
          <w:color w:val="000000"/>
          <w:sz w:val="40"/>
          <w:szCs w:val="28"/>
        </w:rPr>
        <w:t>2026年北京数智创新大赛</w:t>
      </w:r>
    </w:p>
    <w:p w14:paraId="2261EB55">
      <w:pPr>
        <w:spacing w:before="200"/>
        <w:jc w:val="center"/>
        <w:rPr>
          <w:sz w:val="32"/>
          <w:szCs w:val="28"/>
        </w:rPr>
      </w:pPr>
      <w:r>
        <w:rPr>
          <w:rFonts w:ascii="黑体" w:hAnsi="黑体" w:eastAsia="黑体"/>
          <w:b/>
          <w:color w:val="000000"/>
          <w:sz w:val="52"/>
          <w:szCs w:val="28"/>
        </w:rPr>
        <w:t>竞赛空间选手使用手册</w:t>
      </w:r>
    </w:p>
    <w:p w14:paraId="766D5FFA">
      <w:pPr>
        <w:spacing w:before="80"/>
        <w:jc w:val="center"/>
        <w:rPr>
          <w:sz w:val="32"/>
          <w:szCs w:val="28"/>
        </w:rPr>
      </w:pPr>
      <w:r>
        <w:rPr>
          <w:rFonts w:ascii="黑体" w:hAnsi="黑体" w:eastAsia="黑体"/>
          <w:b/>
          <w:color w:val="000000"/>
          <w:sz w:val="36"/>
          <w:szCs w:val="28"/>
        </w:rPr>
        <w:t>（非信创版）</w:t>
      </w:r>
    </w:p>
    <w:p w14:paraId="3EF7A1B3">
      <w:r>
        <w:br w:type="page"/>
      </w:r>
    </w:p>
    <w:p w14:paraId="7D236DEC">
      <w:pPr>
        <w:spacing w:after="160"/>
        <w:jc w:val="center"/>
      </w:pPr>
      <w:r>
        <w:rPr>
          <w:rFonts w:ascii="黑体" w:hAnsi="黑体" w:eastAsia="黑体"/>
          <w:b/>
          <w:color w:val="000000"/>
          <w:sz w:val="32"/>
        </w:rPr>
        <w:t>目  录</w:t>
      </w:r>
    </w:p>
    <w:p w14:paraId="79C3DDC7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一、竞赛终端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6818D1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二、资源与账号确认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325F4D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（一）服务器及预置工具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F11FD5F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（二）服务入口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305290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三、环境接入与登录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365F47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（一）连接AOne零信任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2A8231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（二）通过堡垒机访问资产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C23A229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四、数据获取与目录使用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F0903E1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（一）使用FileZilla连接SFTP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A5849D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（二）使用FinalShell访问Linux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199DF44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（三）自带数据与线下数据导入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50E72D2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五、开发环境使用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A458A66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（一）使用Jupyter Notebook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10F23DF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（二）安装开发依赖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5FEFFAB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（三）调用大模型API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22D0BD0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（四）使用Portainer管理镜像与容器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99FBD66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六、竞赛录屏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BF503D8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七、成果整理与提交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53C1D98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（一）文件命名规则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4664F51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（二）成果预提交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54986C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（三）最终成果提交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4E7B0BD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（四）提交前自查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E5FC053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八、安全要求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69F105C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九、常见问题处置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14DE3FE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十、附件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  <w:r>
        <w:fldChar w:fldCharType="end"/>
      </w:r>
    </w:p>
    <w:p w14:paraId="0F3B2781">
      <w:r>
        <w:br w:type="page"/>
      </w:r>
    </w:p>
    <w:p w14:paraId="3A86AA5D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本手册供2026年北京数智创新大赛竞赛空间非信创环境参赛选手使用，说明环境接入、资源访问、数据获取、开发调试、竞赛录屏与成果提交等操作要求。选手应按本手册顺序完成赛前准备与环境检查，比赛期间按赛务要求保存工作文件和成果。</w:t>
      </w:r>
    </w:p>
    <w:p w14:paraId="086EB3FB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选手使用的账号、密码、主机地址及比赛规则，以组委会正式发布或单独发放的信息为准。</w:t>
      </w:r>
    </w:p>
    <w:p w14:paraId="5AA64426">
      <w:pPr>
        <w:pStyle w:val="3"/>
        <w:spacing w:before="240" w:after="80"/>
      </w:pPr>
      <w:bookmarkStart w:id="0" w:name="_LarkToc00001"/>
      <w:r>
        <w:rPr>
          <w:rFonts w:ascii="黑体" w:hAnsi="黑体" w:eastAsia="黑体"/>
          <w:b/>
          <w:color w:val="000000"/>
          <w:sz w:val="28"/>
        </w:rPr>
        <w:t>一、竞赛终端</w:t>
      </w:r>
      <w:bookmarkEnd w:id="0"/>
    </w:p>
    <w:p w14:paraId="7A947961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非信创环境选手使用赛场统一配置的PC终端，由台式主机、显示器、键盘和鼠标组成。选手开机后使用现场分配的账号登录终端，依次完成AOne零信任连接，再访问本队获授权的竞赛资源。</w:t>
      </w:r>
    </w:p>
    <w:p w14:paraId="268AA5A2">
      <w:pPr>
        <w:spacing w:before="80"/>
        <w:jc w:val="center"/>
      </w:pPr>
      <w:r>
        <w:drawing>
          <wp:inline distT="0" distB="0" distL="114300" distR="114300">
            <wp:extent cx="4859655" cy="3644900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CE72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图1  非信创环境竞赛终端</w:t>
      </w:r>
    </w:p>
    <w:p w14:paraId="3A59EC49">
      <w:pPr>
        <w:pStyle w:val="3"/>
        <w:spacing w:before="240" w:after="80"/>
      </w:pPr>
      <w:bookmarkStart w:id="1" w:name="_LarkToc00002"/>
      <w:r>
        <w:rPr>
          <w:rFonts w:ascii="黑体" w:hAnsi="黑体" w:eastAsia="黑体"/>
          <w:b/>
          <w:color w:val="000000"/>
          <w:sz w:val="28"/>
        </w:rPr>
        <w:t>二、资源与账号确认</w:t>
      </w:r>
      <w:bookmarkEnd w:id="1"/>
    </w:p>
    <w:p w14:paraId="34566825">
      <w:pPr>
        <w:pStyle w:val="4"/>
        <w:spacing w:before="120" w:after="40"/>
      </w:pPr>
      <w:bookmarkStart w:id="2" w:name="_LarkToc00003"/>
      <w:r>
        <w:rPr>
          <w:rFonts w:ascii="黑体" w:hAnsi="黑体" w:eastAsia="黑体"/>
          <w:b/>
          <w:color w:val="000000"/>
          <w:sz w:val="24"/>
        </w:rPr>
        <w:t>（一）服务器及预置工具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0D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183CEB5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环境</w:t>
            </w:r>
          </w:p>
        </w:tc>
        <w:tc>
          <w:tcPr>
            <w:tcW w:w="4320" w:type="dxa"/>
          </w:tcPr>
          <w:p w14:paraId="443FDE1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预置工具</w:t>
            </w:r>
          </w:p>
        </w:tc>
      </w:tr>
      <w:tr w14:paraId="0DE6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40597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Ubuntu</w:t>
            </w:r>
          </w:p>
        </w:tc>
        <w:tc>
          <w:tcPr>
            <w:tcW w:w="4320" w:type="dxa"/>
          </w:tcPr>
          <w:p w14:paraId="3CA34A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Docker 29.6.1、Python 3.10.13、Jupyter Notebook 6.5.7、SFTP、Portainer 2.45.0</w:t>
            </w:r>
          </w:p>
        </w:tc>
      </w:tr>
      <w:tr w14:paraId="262D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B722C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Windows</w:t>
            </w:r>
          </w:p>
        </w:tc>
        <w:tc>
          <w:tcPr>
            <w:tcW w:w="4320" w:type="dxa"/>
          </w:tcPr>
          <w:p w14:paraId="775BB8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WPS 28505、OBS 32.2.2、FileZilla 3.71.1、FinalShell 4.6.3</w:t>
            </w:r>
          </w:p>
        </w:tc>
      </w:tr>
    </w:tbl>
    <w:p w14:paraId="6FC50A4D">
      <w:pPr>
        <w:spacing w:after="40"/>
      </w:pPr>
    </w:p>
    <w:p w14:paraId="1BE9B7B7">
      <w:pPr>
        <w:pStyle w:val="4"/>
        <w:spacing w:before="120" w:after="40"/>
      </w:pPr>
      <w:bookmarkStart w:id="3" w:name="_LarkToc00004"/>
      <w:r>
        <w:rPr>
          <w:rFonts w:ascii="黑体" w:hAnsi="黑体" w:eastAsia="黑体"/>
          <w:b/>
          <w:color w:val="000000"/>
          <w:sz w:val="24"/>
        </w:rPr>
        <w:t>（二）服务入口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6B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D0FF4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服务</w:t>
            </w:r>
          </w:p>
        </w:tc>
        <w:tc>
          <w:tcPr>
            <w:tcW w:w="2880" w:type="dxa"/>
          </w:tcPr>
          <w:p w14:paraId="5F99BDF4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访问方式</w:t>
            </w:r>
          </w:p>
        </w:tc>
        <w:tc>
          <w:tcPr>
            <w:tcW w:w="2880" w:type="dxa"/>
          </w:tcPr>
          <w:p w14:paraId="369CB5C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用途</w:t>
            </w:r>
          </w:p>
        </w:tc>
      </w:tr>
      <w:tr w14:paraId="4A3B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276B5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SFTP</w:t>
            </w:r>
          </w:p>
        </w:tc>
        <w:tc>
          <w:tcPr>
            <w:tcW w:w="2880" w:type="dxa"/>
          </w:tcPr>
          <w:p w14:paraId="5CCF2DC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【所分配主机IP】:22</w:t>
            </w:r>
          </w:p>
        </w:tc>
        <w:tc>
          <w:tcPr>
            <w:tcW w:w="2880" w:type="dxa"/>
          </w:tcPr>
          <w:p w14:paraId="4F143A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文件传输</w:t>
            </w:r>
          </w:p>
        </w:tc>
      </w:tr>
      <w:tr w14:paraId="4ACE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A47E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远程桌面</w:t>
            </w:r>
          </w:p>
        </w:tc>
        <w:tc>
          <w:tcPr>
            <w:tcW w:w="2880" w:type="dxa"/>
          </w:tcPr>
          <w:p w14:paraId="496624D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【所分配Windows主机IP】:3389</w:t>
            </w:r>
          </w:p>
        </w:tc>
        <w:tc>
          <w:tcPr>
            <w:tcW w:w="2880" w:type="dxa"/>
          </w:tcPr>
          <w:p w14:paraId="0D4590B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Windows图形桌面（mstsc）</w:t>
            </w:r>
          </w:p>
        </w:tc>
      </w:tr>
      <w:tr w14:paraId="3C45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1C5D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Jupyter</w:t>
            </w:r>
          </w:p>
        </w:tc>
        <w:tc>
          <w:tcPr>
            <w:tcW w:w="2880" w:type="dxa"/>
          </w:tcPr>
          <w:p w14:paraId="36055D3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http://【所分配主机IP】:8888</w:t>
            </w:r>
          </w:p>
        </w:tc>
        <w:tc>
          <w:tcPr>
            <w:tcW w:w="2880" w:type="dxa"/>
          </w:tcPr>
          <w:p w14:paraId="48A330E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Notebook开发与测试</w:t>
            </w:r>
          </w:p>
        </w:tc>
      </w:tr>
      <w:tr w14:paraId="571C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3E83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Portainer</w:t>
            </w:r>
          </w:p>
        </w:tc>
        <w:tc>
          <w:tcPr>
            <w:tcW w:w="2880" w:type="dxa"/>
          </w:tcPr>
          <w:p w14:paraId="4917002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https://【所分配主机IP】:9443</w:t>
            </w:r>
          </w:p>
        </w:tc>
        <w:tc>
          <w:tcPr>
            <w:tcW w:w="2880" w:type="dxa"/>
          </w:tcPr>
          <w:p w14:paraId="184E99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Docker镜像与容器管理</w:t>
            </w:r>
          </w:p>
        </w:tc>
      </w:tr>
    </w:tbl>
    <w:p w14:paraId="117D32C1">
      <w:pPr>
        <w:spacing w:after="40"/>
      </w:pPr>
    </w:p>
    <w:p w14:paraId="32729C92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访问上述服务时，应将【所分配主机IP】替换为组委会向本队发放的实际主机地址。Linux主机默认通过SSH 22端口连接，Windows主机默认通过远程桌面RDP 3389端口连接；Web、API等额外端口由组委会在赛前集中申请开通，选手无需自行开放。</w:t>
      </w:r>
    </w:p>
    <w:p w14:paraId="7C8CE29D">
      <w:pPr>
        <w:spacing w:after="40"/>
        <w:ind w:firstLine="480"/>
        <w:rPr>
          <w:rFonts w:hint="eastAsia" w:eastAsia="仿宋"/>
          <w:lang w:eastAsia="zh-CN"/>
        </w:rPr>
      </w:pPr>
      <w:r>
        <w:rPr>
          <w:rFonts w:ascii="仿宋" w:hAnsi="仿宋" w:eastAsia="仿宋"/>
          <w:b/>
          <w:color w:val="FF0000"/>
          <w:sz w:val="24"/>
        </w:rPr>
        <w:t>【待完善】本队账号、密码、主机IP及大模型API地址与密钥的具体发放时间、发放渠道及遗失补发方式</w:t>
      </w:r>
      <w:r>
        <w:rPr>
          <w:rFonts w:hint="eastAsia"/>
          <w:b/>
          <w:color w:val="FF0000"/>
          <w:sz w:val="24"/>
          <w:lang w:eastAsia="zh-CN"/>
        </w:rPr>
        <w:t>？</w:t>
      </w:r>
    </w:p>
    <w:p w14:paraId="466283B7">
      <w:pPr>
        <w:pStyle w:val="3"/>
        <w:spacing w:before="240" w:after="80"/>
      </w:pPr>
      <w:bookmarkStart w:id="4" w:name="_LarkToc00005"/>
      <w:r>
        <w:rPr>
          <w:rFonts w:ascii="黑体" w:hAnsi="黑体" w:eastAsia="黑体"/>
          <w:b/>
          <w:color w:val="000000"/>
          <w:sz w:val="28"/>
        </w:rPr>
        <w:t>三、环境接入与登录</w:t>
      </w:r>
      <w:bookmarkEnd w:id="4"/>
    </w:p>
    <w:p w14:paraId="3683A4DD">
      <w:pPr>
        <w:pStyle w:val="4"/>
        <w:spacing w:before="120" w:after="40"/>
      </w:pPr>
      <w:bookmarkStart w:id="5" w:name="_LarkToc00006"/>
      <w:r>
        <w:rPr>
          <w:rFonts w:ascii="黑体" w:hAnsi="黑体" w:eastAsia="黑体"/>
          <w:b/>
          <w:color w:val="000000"/>
          <w:sz w:val="24"/>
        </w:rPr>
        <w:t>（一）连接AOne零信任</w:t>
      </w:r>
      <w:bookmarkEnd w:id="5"/>
    </w:p>
    <w:p w14:paraId="098C1DDF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打开AOne零信任客户端，使用已发放的账号登录；在客户端首页点击“点击连接”，确认显示内网已连接。连接成功后进入“我的应用”，查看堡垒机应用详情并复制应用地址。</w:t>
      </w:r>
    </w:p>
    <w:p w14:paraId="1F21071C">
      <w:pPr>
        <w:spacing w:before="80"/>
        <w:jc w:val="center"/>
      </w:pPr>
      <w:r>
        <w:drawing>
          <wp:inline distT="0" distB="0" distL="114300" distR="114300">
            <wp:extent cx="4859655" cy="3240405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4996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图2  AOne内网连接状态</w:t>
      </w:r>
    </w:p>
    <w:p w14:paraId="76D87F3C">
      <w:pPr>
        <w:spacing w:before="80"/>
        <w:jc w:val="center"/>
      </w:pPr>
      <w:r>
        <w:drawing>
          <wp:inline distT="0" distB="0" distL="114300" distR="114300">
            <wp:extent cx="4859655" cy="3240405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7BBF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图3  在“我的应用”中获取堡垒机地址</w:t>
      </w:r>
    </w:p>
    <w:p w14:paraId="310BA637">
      <w:pPr>
        <w:pStyle w:val="4"/>
        <w:spacing w:before="120" w:after="40"/>
      </w:pPr>
      <w:bookmarkStart w:id="6" w:name="_LarkToc00007"/>
      <w:r>
        <w:rPr>
          <w:rFonts w:ascii="黑体" w:hAnsi="黑体" w:eastAsia="黑体"/>
          <w:b/>
          <w:color w:val="000000"/>
          <w:sz w:val="24"/>
        </w:rPr>
        <w:t>（二）通过堡垒机访问资产</w:t>
      </w:r>
      <w:bookmarkEnd w:id="6"/>
    </w:p>
    <w:p w14:paraId="168DA0EB">
      <w:pPr>
        <w:spacing w:after="40" w:line="336" w:lineRule="auto"/>
        <w:ind w:firstLine="480"/>
        <w:rPr>
          <w:rFonts w:hint="default"/>
          <w:b w:val="0"/>
          <w:color w:val="0000FF"/>
          <w:sz w:val="24"/>
          <w:lang w:val="en-US" w:eastAsia="zh-CN"/>
        </w:rPr>
      </w:pPr>
      <w:r>
        <w:rPr>
          <w:rFonts w:ascii="仿宋" w:hAnsi="仿宋" w:eastAsia="仿宋"/>
          <w:b w:val="0"/>
          <w:color w:val="000000"/>
          <w:sz w:val="24"/>
        </w:rPr>
        <w:t>在浏览器中打开堡垒机应用地址并登录。进入“资产访问”，选择本队云主机；按单独发放的信息填写资产账号和密码，</w:t>
      </w:r>
      <w:r>
        <w:rPr>
          <w:rFonts w:hint="eastAsia"/>
          <w:b w:val="0"/>
          <w:color w:val="000000"/>
          <w:sz w:val="24"/>
          <w:lang w:eastAsia="zh-CN"/>
        </w:rPr>
        <w:t>点击</w:t>
      </w:r>
      <w:r>
        <w:rPr>
          <w:rFonts w:hint="eastAsia"/>
          <w:b w:val="0"/>
          <w:color w:val="0000FF"/>
          <w:sz w:val="24"/>
          <w:lang w:eastAsia="zh-CN"/>
        </w:rPr>
        <w:t>运维设置选择</w:t>
      </w:r>
      <w:r>
        <w:rPr>
          <w:rFonts w:hint="eastAsia"/>
          <w:b w:val="0"/>
          <w:color w:val="0000FF"/>
          <w:sz w:val="24"/>
          <w:lang w:val="en-US" w:eastAsia="zh-CN"/>
        </w:rPr>
        <w:t>h5。</w:t>
      </w:r>
    </w:p>
    <w:p w14:paraId="2A8DC2D4">
      <w:pPr>
        <w:spacing w:after="40" w:line="336" w:lineRule="auto"/>
        <w:ind w:firstLine="480"/>
        <w:rPr>
          <w:rFonts w:hint="eastAsia"/>
          <w:b w:val="0"/>
          <w:color w:val="0000FF"/>
          <w:sz w:val="24"/>
          <w:lang w:eastAsia="zh-CN"/>
        </w:rPr>
      </w:pPr>
      <w:r>
        <w:drawing>
          <wp:inline distT="0" distB="0" distL="114300" distR="114300">
            <wp:extent cx="5485765" cy="3461385"/>
            <wp:effectExtent l="0" t="0" r="635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8DE94">
      <w:pPr>
        <w:spacing w:after="40" w:line="336" w:lineRule="auto"/>
        <w:ind w:firstLine="480"/>
        <w:rPr>
          <w:rFonts w:hint="eastAsia"/>
          <w:b w:val="0"/>
          <w:color w:val="0000FF"/>
          <w:sz w:val="24"/>
          <w:lang w:eastAsia="zh-CN"/>
        </w:rPr>
      </w:pPr>
    </w:p>
    <w:p w14:paraId="2F2E1D03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点击“mstsc</w:t>
      </w:r>
      <w:r>
        <w:rPr>
          <w:rFonts w:hint="default"/>
          <w:b w:val="0"/>
          <w:color w:val="000000"/>
          <w:sz w:val="24"/>
          <w:lang w:val="en-US"/>
        </w:rPr>
        <w:t>/h5</w:t>
      </w:r>
      <w:r>
        <w:rPr>
          <w:rFonts w:ascii="仿宋" w:hAnsi="仿宋" w:eastAsia="仿宋"/>
          <w:b w:val="0"/>
          <w:color w:val="000000"/>
          <w:sz w:val="24"/>
        </w:rPr>
        <w:t>”进入图形桌面；访问Ubuntu资产时，按页面提供的连接方式操作。</w:t>
      </w:r>
    </w:p>
    <w:p w14:paraId="28DE4BF7">
      <w:pPr>
        <w:spacing w:before="80"/>
        <w:jc w:val="center"/>
      </w:pPr>
      <w:r>
        <w:drawing>
          <wp:inline distT="0" distB="0" distL="114300" distR="114300">
            <wp:extent cx="4859655" cy="3340735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4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1D7B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图4  堡垒机资产访问页面</w:t>
      </w:r>
    </w:p>
    <w:p w14:paraId="3D0868B8">
      <w:pPr>
        <w:spacing w:after="40" w:line="336" w:lineRule="auto"/>
        <w:ind w:firstLine="480"/>
        <w:rPr>
          <w:rFonts w:ascii="仿宋" w:hAnsi="仿宋" w:eastAsia="仿宋"/>
          <w:b w:val="0"/>
          <w:color w:val="000000"/>
          <w:sz w:val="24"/>
        </w:rPr>
      </w:pPr>
      <w:r>
        <w:rPr>
          <w:rFonts w:ascii="仿宋" w:hAnsi="仿宋" w:eastAsia="仿宋"/>
          <w:b w:val="0"/>
          <w:color w:val="000000"/>
          <w:sz w:val="24"/>
        </w:rPr>
        <w:t>队伍之间网络与目录相互隔离，选手仅可访问本队获授权的资产；在资产列表中看不到其他队伍资源属于正常情况。</w:t>
      </w:r>
    </w:p>
    <w:p w14:paraId="7A8689FC">
      <w:pPr>
        <w:spacing w:after="40" w:line="336" w:lineRule="auto"/>
        <w:ind w:firstLine="480"/>
        <w:rPr>
          <w:rFonts w:ascii="仿宋" w:hAnsi="仿宋" w:eastAsia="仿宋"/>
          <w:b w:val="0"/>
          <w:color w:val="000000"/>
          <w:sz w:val="24"/>
        </w:rPr>
      </w:pPr>
    </w:p>
    <w:p w14:paraId="6A035C48">
      <w:pPr>
        <w:pStyle w:val="3"/>
        <w:spacing w:before="240" w:after="80"/>
      </w:pPr>
      <w:bookmarkStart w:id="7" w:name="_LarkToc00008"/>
      <w:r>
        <w:rPr>
          <w:rFonts w:ascii="黑体" w:hAnsi="黑体" w:eastAsia="黑体"/>
          <w:b/>
          <w:color w:val="000000"/>
          <w:sz w:val="28"/>
        </w:rPr>
        <w:t>四、数据获取与目录使用</w:t>
      </w:r>
      <w:bookmarkEnd w:id="7"/>
    </w:p>
    <w:p w14:paraId="66F81467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竞赛环境通过SFTP向选手提供统一数据目录。本队工作数据存放于sjysx目录，成果文件集中整理于sg目录。公共数据与社会企业数据已由组委会经数据汇聚节点按队伍分发，选手无需自行下载。</w:t>
      </w:r>
    </w:p>
    <w:p w14:paraId="41D9380B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组委会下发的原始数据目录为只读，请勿在原始目录内直接写入或修改；应先将所需数据复制到本队虚机本地工作目录后再开展开发和训练。</w:t>
      </w:r>
    </w:p>
    <w:p w14:paraId="6C89B16A">
      <w:pPr>
        <w:pStyle w:val="4"/>
        <w:spacing w:before="120" w:after="40"/>
      </w:pPr>
      <w:bookmarkStart w:id="8" w:name="_LarkToc00009"/>
      <w:r>
        <w:rPr>
          <w:rFonts w:ascii="黑体" w:hAnsi="黑体" w:eastAsia="黑体"/>
          <w:b/>
          <w:color w:val="000000"/>
          <w:sz w:val="24"/>
        </w:rPr>
        <w:t>（一）使用FileZilla连接SFTP</w:t>
      </w:r>
      <w:bookmarkEnd w:id="8"/>
    </w:p>
    <w:p w14:paraId="3418E94B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在云主机中打开FileZilla，填写SFTP主机地址、用户名、密码和端口22后连接。连接成功后应能看到sg和sjysx两个目录。将工作数据和成果分别放入对应目录，上传后应在远端目录核对文件名和文件大小。</w:t>
      </w:r>
    </w:p>
    <w:p w14:paraId="37D9C441">
      <w:pPr>
        <w:spacing w:before="80"/>
        <w:jc w:val="center"/>
      </w:pPr>
      <w:r>
        <w:drawing>
          <wp:inline distT="0" distB="0" distL="114300" distR="114300">
            <wp:extent cx="4859655" cy="3133090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CC26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图5  FileZilla连接后显示的目录</w:t>
      </w:r>
    </w:p>
    <w:p w14:paraId="190D2AC7">
      <w:pPr>
        <w:pStyle w:val="4"/>
        <w:spacing w:before="120" w:after="40"/>
      </w:pPr>
      <w:bookmarkStart w:id="9" w:name="_LarkToc00010"/>
      <w:r>
        <w:rPr>
          <w:rFonts w:ascii="黑体" w:hAnsi="黑体" w:eastAsia="黑体"/>
          <w:b/>
          <w:color w:val="000000"/>
          <w:sz w:val="24"/>
        </w:rPr>
        <w:t>（二）使用FinalShell访问Linux</w:t>
      </w:r>
      <w:bookmarkEnd w:id="9"/>
    </w:p>
    <w:p w14:paraId="480BFD61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打开FinalShell，点击左上角目录和“+”，选择“SSH连接（Linux）”，填写连接名称、主机、用户名和密码；保存后双击已分配的服务器，按需进入工作目录。</w:t>
      </w:r>
    </w:p>
    <w:p w14:paraId="7FC7C3AD">
      <w:pPr>
        <w:spacing w:before="80"/>
        <w:jc w:val="center"/>
      </w:pPr>
      <w:r>
        <w:drawing>
          <wp:inline distT="0" distB="0" distL="114300" distR="114300">
            <wp:extent cx="4859655" cy="4420235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42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9783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图6  FinalShell新建SSH连接</w:t>
      </w:r>
    </w:p>
    <w:p w14:paraId="198DA121">
      <w:pPr>
        <w:pStyle w:val="4"/>
        <w:spacing w:before="120" w:after="40"/>
      </w:pPr>
      <w:bookmarkStart w:id="10" w:name="_LarkToc00011"/>
      <w:r>
        <w:rPr>
          <w:rFonts w:ascii="黑体" w:hAnsi="黑体" w:eastAsia="黑体"/>
          <w:b/>
          <w:color w:val="000000"/>
          <w:sz w:val="24"/>
        </w:rPr>
        <w:t>（三）自带数据与线下数据导入</w:t>
      </w:r>
      <w:bookmarkEnd w:id="10"/>
    </w:p>
    <w:p w14:paraId="11D6C9D8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选手自带数据或组委会安排的线下数据，不允许通过U盘自行拷贝，须由组委会现场统一登记后经运维通道导入本队目录。</w:t>
      </w:r>
    </w:p>
    <w:p w14:paraId="448BF54D">
      <w:pPr>
        <w:spacing w:after="40"/>
        <w:ind w:firstLine="480"/>
      </w:pPr>
      <w:r>
        <w:rPr>
          <w:rFonts w:ascii="仿宋" w:hAnsi="仿宋" w:eastAsia="仿宋"/>
          <w:b/>
          <w:color w:val="FF0000"/>
          <w:sz w:val="24"/>
        </w:rPr>
        <w:t>【待完善】线下数据导入登记表单、现场运维窗口位置及可导入文件类型与大小限制。</w:t>
      </w:r>
    </w:p>
    <w:p w14:paraId="10FACB4C">
      <w:pPr>
        <w:pStyle w:val="3"/>
        <w:spacing w:before="240" w:after="80"/>
      </w:pPr>
      <w:bookmarkStart w:id="11" w:name="_LarkToc00012"/>
      <w:r>
        <w:rPr>
          <w:rFonts w:ascii="黑体" w:hAnsi="黑体" w:eastAsia="黑体"/>
          <w:b/>
          <w:color w:val="000000"/>
          <w:sz w:val="28"/>
        </w:rPr>
        <w:t>五、开发环境使用</w:t>
      </w:r>
      <w:bookmarkEnd w:id="11"/>
    </w:p>
    <w:p w14:paraId="434BA531">
      <w:pPr>
        <w:pStyle w:val="4"/>
        <w:spacing w:before="120" w:after="40"/>
      </w:pPr>
      <w:bookmarkStart w:id="12" w:name="_LarkToc00013"/>
      <w:r>
        <w:rPr>
          <w:rFonts w:ascii="黑体" w:hAnsi="黑体" w:eastAsia="黑体"/>
          <w:b/>
          <w:color w:val="000000"/>
          <w:sz w:val="24"/>
        </w:rPr>
        <w:t>（一）使用Jupyter Notebook</w:t>
      </w:r>
      <w:bookmarkEnd w:id="12"/>
    </w:p>
    <w:p w14:paraId="46701592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在浏览器访问Jupyter服务地址，进入文件列表后点击“New→Python 3（ipykernel）”创建Notebook；运行测试单元确认内核可用后，应及时保存工作文件。</w:t>
      </w:r>
    </w:p>
    <w:p w14:paraId="0DAD1BF4">
      <w:pPr>
        <w:spacing w:before="80"/>
        <w:jc w:val="center"/>
      </w:pPr>
      <w:r>
        <w:drawing>
          <wp:inline distT="0" distB="0" distL="114300" distR="114300">
            <wp:extent cx="4859655" cy="256286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6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9E73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图7  创建Python 3 Notebook</w:t>
      </w:r>
    </w:p>
    <w:p w14:paraId="4713B9DC">
      <w:pPr>
        <w:pStyle w:val="4"/>
        <w:spacing w:before="120" w:after="40"/>
      </w:pPr>
      <w:bookmarkStart w:id="13" w:name="_LarkToc00014"/>
      <w:r>
        <w:rPr>
          <w:rFonts w:ascii="黑体" w:hAnsi="黑体" w:eastAsia="黑体"/>
          <w:b/>
          <w:color w:val="000000"/>
          <w:sz w:val="24"/>
        </w:rPr>
        <w:t>（二）安装开发依赖</w:t>
      </w:r>
      <w:bookmarkEnd w:id="13"/>
    </w:p>
    <w:p w14:paraId="4EF55699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选手可在Notebook中执行pip命令安装所需开发包。</w:t>
      </w:r>
    </w:p>
    <w:p w14:paraId="2277A709">
      <w:pPr>
        <w:spacing w:after="40"/>
        <w:ind w:firstLine="480"/>
        <w:rPr>
          <w:rFonts w:hint="eastAsia" w:eastAsia="仿宋"/>
          <w:lang w:eastAsia="zh-CN"/>
        </w:rPr>
      </w:pPr>
      <w:r>
        <w:rPr>
          <w:rFonts w:ascii="仿宋" w:hAnsi="仿宋" w:eastAsia="仿宋"/>
          <w:b/>
          <w:color w:val="FF0000"/>
          <w:sz w:val="24"/>
        </w:rPr>
        <w:t>【待完善】正式环境关闭公网后pip无法直接联网，需明确内网镜像源地址或离线依赖包获取方式</w:t>
      </w:r>
      <w:r>
        <w:rPr>
          <w:rFonts w:hint="eastAsia"/>
          <w:b/>
          <w:color w:val="FF0000"/>
          <w:sz w:val="24"/>
          <w:lang w:eastAsia="zh-CN"/>
        </w:rPr>
        <w:t>？</w:t>
      </w:r>
    </w:p>
    <w:p w14:paraId="5E47A143">
      <w:pPr>
        <w:pStyle w:val="4"/>
        <w:spacing w:before="120" w:after="40"/>
      </w:pPr>
      <w:bookmarkStart w:id="14" w:name="_LarkToc00015"/>
      <w:r>
        <w:rPr>
          <w:rFonts w:ascii="黑体" w:hAnsi="黑体" w:eastAsia="黑体"/>
          <w:b/>
          <w:color w:val="000000"/>
          <w:sz w:val="24"/>
        </w:rPr>
        <w:t>（三）调用大模型API</w:t>
      </w:r>
      <w:bookmarkEnd w:id="14"/>
    </w:p>
    <w:p w14:paraId="6BB1F6D1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非信创环境的大模型服务部署于910B2裸金属服务器。GPU队伍使用本队A100 GPU开展模型训练和调试；通算队伍主要通过大模型API完成模型推理、调用验证和成果开发。选手可在Notebook或Ubuntu虚机中，使用组委会正式下发的API地址、模型名称和密钥进行连通性验证，示例如下：</w:t>
      </w:r>
    </w:p>
    <w:p w14:paraId="38132D2E">
      <w:pPr>
        <w:spacing w:after="40"/>
        <w:ind w:left="480"/>
      </w:pPr>
      <w:r>
        <w:rPr>
          <w:rFonts w:ascii="Consolas" w:hAnsi="Consolas" w:eastAsia="Consolas"/>
          <w:sz w:val="21"/>
        </w:rPr>
        <w:t>import requests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url = "&lt;大模型API地址&gt;/v1/chat/completions"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headers = {"Authorization": "Bearer &lt;本队密钥&gt;", "Content-Type": "application/json"}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payload = {"model": "&lt;模型名称&gt;", "messages": [{"role": "user", "content": "你好"}]}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r = requests.post(url, json=payload, headers=headers)</w:t>
      </w:r>
      <w:r>
        <w:rPr>
          <w:rFonts w:ascii="Consolas" w:hAnsi="Consolas" w:eastAsia="Consolas"/>
          <w:sz w:val="21"/>
        </w:rPr>
        <w:br w:type="textWrapping"/>
      </w:r>
      <w:r>
        <w:rPr>
          <w:rFonts w:ascii="Consolas" w:hAnsi="Consolas" w:eastAsia="Consolas"/>
          <w:sz w:val="21"/>
        </w:rPr>
        <w:t>print(r.status_code, r.json()["choices"][0]["message"]["content"])</w:t>
      </w:r>
    </w:p>
    <w:p w14:paraId="53A5500A">
      <w:pPr>
        <w:spacing w:after="40"/>
        <w:ind w:firstLine="480"/>
      </w:pPr>
      <w:r>
        <w:rPr>
          <w:rFonts w:ascii="仿宋" w:hAnsi="仿宋" w:eastAsia="仿宋"/>
          <w:b/>
          <w:color w:val="FF0000"/>
          <w:sz w:val="24"/>
        </w:rPr>
        <w:t>【待完善】正式API地址、模型名称、并发限制及密钥领取方式。</w:t>
      </w:r>
    </w:p>
    <w:p w14:paraId="64BDE8E2">
      <w:pPr>
        <w:pStyle w:val="4"/>
        <w:spacing w:before="120" w:after="40"/>
      </w:pPr>
      <w:bookmarkStart w:id="15" w:name="_LarkToc00016"/>
      <w:r>
        <w:rPr>
          <w:rFonts w:ascii="黑体" w:hAnsi="黑体" w:eastAsia="黑体"/>
          <w:b/>
          <w:color w:val="000000"/>
          <w:sz w:val="24"/>
        </w:rPr>
        <w:t>（四）使用Portainer管理镜像与容器</w:t>
      </w:r>
      <w:bookmarkEnd w:id="15"/>
    </w:p>
    <w:p w14:paraId="7FBB7819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访问Portainer服务地址并登录，进入本队获授权的local环境。导入镜像时依次进入“Images→Import”，选择镜像归档文件并上传；上传后应到镜像列表核对名称和大小。创建容器时进入“Containers→Add container”，填写容器名称并选择已上传镜像；环境未提供在线拉取条件时，应关闭“Always pull the image”。按应用实际需要配置端口映射和卷路径后，点击“Deploy the container”，并检查容器运行状态与日志。</w:t>
      </w:r>
    </w:p>
    <w:p w14:paraId="0285A6D6">
      <w:pPr>
        <w:spacing w:before="80"/>
        <w:jc w:val="center"/>
      </w:pPr>
      <w:r>
        <w:drawing>
          <wp:inline distT="0" distB="0" distL="114300" distR="114300">
            <wp:extent cx="4859655" cy="330517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0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DB2D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图8  创建容器并关闭在线拉取</w:t>
      </w:r>
    </w:p>
    <w:p w14:paraId="4D2A15C6">
      <w:pPr>
        <w:pStyle w:val="3"/>
        <w:spacing w:before="240" w:after="80"/>
      </w:pPr>
      <w:bookmarkStart w:id="16" w:name="_LarkToc00017"/>
      <w:r>
        <w:rPr>
          <w:rFonts w:ascii="黑体" w:hAnsi="黑体" w:eastAsia="黑体"/>
          <w:b/>
          <w:color w:val="000000"/>
          <w:sz w:val="28"/>
        </w:rPr>
        <w:t>六、竞赛录屏</w:t>
      </w:r>
      <w:bookmarkEnd w:id="16"/>
    </w:p>
    <w:p w14:paraId="78AE844D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在Windows环境中打开OBS Studio，先在“文件→设置→输出”中确定录屏保存路径，再确认录制画面及声音来源。开始演示前点击“开始录制”，演示结束后停止录制，并在保存目录中打开视频，检查画面、时长和可播放性。录屏文件应放入sg目录。</w:t>
      </w:r>
    </w:p>
    <w:p w14:paraId="51FFA4C6">
      <w:pPr>
        <w:spacing w:before="80"/>
        <w:jc w:val="center"/>
      </w:pPr>
      <w:r>
        <w:drawing>
          <wp:inline distT="0" distB="0" distL="114300" distR="114300">
            <wp:extent cx="4859655" cy="3756025"/>
            <wp:effectExtent l="0" t="0" r="762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5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E797">
      <w:pPr>
        <w:spacing w:after="120"/>
        <w:jc w:val="center"/>
      </w:pPr>
      <w:r>
        <w:rPr>
          <w:rFonts w:ascii="仿宋" w:hAnsi="仿宋" w:eastAsia="仿宋"/>
          <w:b w:val="0"/>
          <w:color w:val="595959"/>
          <w:sz w:val="21"/>
        </w:rPr>
        <w:t>图9  OBS录屏与输出设置</w:t>
      </w:r>
    </w:p>
    <w:p w14:paraId="4073CB15">
      <w:pPr>
        <w:pStyle w:val="3"/>
        <w:spacing w:before="240" w:after="80"/>
      </w:pPr>
      <w:bookmarkStart w:id="17" w:name="_LarkToc00018"/>
      <w:r>
        <w:rPr>
          <w:rFonts w:ascii="黑体" w:hAnsi="黑体" w:eastAsia="黑体"/>
          <w:b/>
          <w:color w:val="000000"/>
          <w:sz w:val="28"/>
        </w:rPr>
        <w:t>七、成果整理与提交</w:t>
      </w:r>
      <w:bookmarkEnd w:id="17"/>
    </w:p>
    <w:p w14:paraId="2CFB2A58">
      <w:pPr>
        <w:pStyle w:val="4"/>
        <w:spacing w:before="120" w:after="40"/>
      </w:pPr>
      <w:bookmarkStart w:id="18" w:name="_LarkToc00019"/>
      <w:r>
        <w:rPr>
          <w:rFonts w:ascii="黑体" w:hAnsi="黑体" w:eastAsia="黑体"/>
          <w:b/>
          <w:color w:val="000000"/>
          <w:sz w:val="24"/>
        </w:rPr>
        <w:t>（一）文件命名规则</w:t>
      </w:r>
      <w:bookmarkEnd w:id="18"/>
    </w:p>
    <w:p w14:paraId="4833712A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成果文件按“成果类别+赛题X+队伍名称+领队名称”命名。成果类别分别使用“测试结果”“代码”“模型”“初步报告”“完整报告”“配套录屏”等名称；数据集按同一规则标识。文件格式不作统一限制，但名称应能识别所属赛题和队伍。</w:t>
      </w:r>
    </w:p>
    <w:p w14:paraId="42AA6A52">
      <w:pPr>
        <w:pStyle w:val="4"/>
        <w:spacing w:before="120" w:after="40"/>
      </w:pPr>
      <w:bookmarkStart w:id="19" w:name="_LarkToc00020"/>
      <w:r>
        <w:rPr>
          <w:rFonts w:ascii="黑体" w:hAnsi="黑体" w:eastAsia="黑体"/>
          <w:b/>
          <w:color w:val="000000"/>
          <w:sz w:val="24"/>
        </w:rPr>
        <w:t>（二）成果预提交</w:t>
      </w:r>
      <w:bookmarkEnd w:id="19"/>
    </w:p>
    <w:p w14:paraId="5D5C136F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比赛期间，参赛队将预提交成果上传至本队SFTP远端sg目录，供赛务人员检查文件是否齐备。预提交期间可修改、替换和补充文件。预提交仅用于参赛队自查和成果准备，不作为评委打分依据。</w:t>
      </w:r>
    </w:p>
    <w:p w14:paraId="67504F0E">
      <w:pPr>
        <w:pStyle w:val="4"/>
        <w:spacing w:before="120" w:after="40"/>
      </w:pPr>
      <w:bookmarkStart w:id="20" w:name="_LarkToc00021"/>
      <w:r>
        <w:rPr>
          <w:rFonts w:ascii="黑体" w:hAnsi="黑体" w:eastAsia="黑体"/>
          <w:b/>
          <w:color w:val="000000"/>
          <w:sz w:val="24"/>
        </w:rPr>
        <w:t>（三）最终成果提交</w:t>
      </w:r>
      <w:bookmarkEnd w:id="20"/>
    </w:p>
    <w:p w14:paraId="2CDC49C6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在组委会公布的最终提交截止时间前，参赛队将定稿文件存放于本队SFTP远端sg目录，填写《竞赛结果提交申请表》，由队伍代表签字后发送至组委会指定邮箱。最终成果应包括数据集、测试结果、代码、模型、完整报告和配套录屏，并附必要的运行说明，确保评委能够按说明复现主要过程和结果。组委会现场导出已提交文件并提交打分系统，参赛队核对导出清单后签字确认。最终提交并签字确认后，不得再修改、替换或删除已提交文件。</w:t>
      </w:r>
    </w:p>
    <w:p w14:paraId="76D6EC1B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成果与数据文件较大时应预留充足上传时间：约300GB量级文件在共享链路下传输需数小时，且比赛期间为多队并发。建议提前分批上传，避免在最终截止时间前集中传输导致拥堵或失败。传输过程中如中断，应先检查网络、目标目录和磁盘空间，再重新发起传输。</w:t>
      </w:r>
    </w:p>
    <w:p w14:paraId="078D4CDA">
      <w:pPr>
        <w:spacing w:after="40"/>
        <w:ind w:firstLine="480"/>
      </w:pPr>
      <w:r>
        <w:rPr>
          <w:rFonts w:ascii="仿宋" w:hAnsi="仿宋" w:eastAsia="仿宋"/>
          <w:b/>
          <w:color w:val="FF0000"/>
          <w:sz w:val="24"/>
        </w:rPr>
        <w:t>【待完善】最终提交截止时间、组委会接收邮箱及现场导出核对安排。</w:t>
      </w:r>
    </w:p>
    <w:p w14:paraId="42C9E28F">
      <w:pPr>
        <w:pStyle w:val="4"/>
        <w:spacing w:before="120" w:after="40"/>
      </w:pPr>
      <w:bookmarkStart w:id="21" w:name="_LarkToc00022"/>
      <w:r>
        <w:rPr>
          <w:rFonts w:ascii="黑体" w:hAnsi="黑体" w:eastAsia="黑体"/>
          <w:b/>
          <w:color w:val="000000"/>
          <w:sz w:val="24"/>
        </w:rPr>
        <w:t>（四）提交前自查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42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1526D2F0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检查项</w:t>
            </w:r>
          </w:p>
        </w:tc>
        <w:tc>
          <w:tcPr>
            <w:tcW w:w="4320" w:type="dxa"/>
          </w:tcPr>
          <w:p w14:paraId="3C9B7AA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确认标准</w:t>
            </w:r>
          </w:p>
        </w:tc>
      </w:tr>
      <w:tr w14:paraId="5F90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E8E7D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环境接入</w:t>
            </w:r>
          </w:p>
        </w:tc>
        <w:tc>
          <w:tcPr>
            <w:tcW w:w="4320" w:type="dxa"/>
          </w:tcPr>
          <w:p w14:paraId="3E8385B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AOne已连接，堡垒机可进入本队资产</w:t>
            </w:r>
          </w:p>
        </w:tc>
      </w:tr>
      <w:tr w14:paraId="3887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DA74D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文件传输</w:t>
            </w:r>
          </w:p>
        </w:tc>
        <w:tc>
          <w:tcPr>
            <w:tcW w:w="4320" w:type="dxa"/>
          </w:tcPr>
          <w:p w14:paraId="21D8D41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SFTP可连接，sg和sjysx目录可见</w:t>
            </w:r>
          </w:p>
        </w:tc>
      </w:tr>
      <w:tr w14:paraId="00EAC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D03E4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大模型</w:t>
            </w:r>
          </w:p>
        </w:tc>
        <w:tc>
          <w:tcPr>
            <w:tcW w:w="4320" w:type="dxa"/>
          </w:tcPr>
          <w:p w14:paraId="39AC89A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大模型API返回正常且有正文输出</w:t>
            </w:r>
          </w:p>
        </w:tc>
      </w:tr>
      <w:tr w14:paraId="3397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404A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开发工具</w:t>
            </w:r>
          </w:p>
        </w:tc>
        <w:tc>
          <w:tcPr>
            <w:tcW w:w="4320" w:type="dxa"/>
          </w:tcPr>
          <w:p w14:paraId="3709829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Jupyter内核可运行；需要容器时镜像及日志正常</w:t>
            </w:r>
          </w:p>
        </w:tc>
      </w:tr>
      <w:tr w14:paraId="1975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3E035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录屏文件</w:t>
            </w:r>
          </w:p>
        </w:tc>
        <w:tc>
          <w:tcPr>
            <w:tcW w:w="4320" w:type="dxa"/>
          </w:tcPr>
          <w:p w14:paraId="3C1501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视频位于明确保存路径，画面可播放</w:t>
            </w:r>
          </w:p>
        </w:tc>
      </w:tr>
      <w:tr w14:paraId="12D2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64029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成果整理</w:t>
            </w:r>
          </w:p>
        </w:tc>
        <w:tc>
          <w:tcPr>
            <w:tcW w:w="4320" w:type="dxa"/>
          </w:tcPr>
          <w:p w14:paraId="5780F23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代码、模型、说明及录屏对应一致，命名规范</w:t>
            </w:r>
          </w:p>
        </w:tc>
      </w:tr>
    </w:tbl>
    <w:p w14:paraId="5A14FCC0">
      <w:pPr>
        <w:spacing w:after="40"/>
      </w:pPr>
    </w:p>
    <w:p w14:paraId="0989E518">
      <w:pPr>
        <w:pStyle w:val="3"/>
        <w:spacing w:before="240" w:after="80"/>
      </w:pPr>
      <w:bookmarkStart w:id="22" w:name="_LarkToc00023"/>
      <w:r>
        <w:rPr>
          <w:rFonts w:ascii="黑体" w:hAnsi="黑体" w:eastAsia="黑体"/>
          <w:b/>
          <w:color w:val="000000"/>
          <w:sz w:val="28"/>
        </w:rPr>
        <w:t>八、安全要求</w:t>
      </w:r>
      <w:bookmarkEnd w:id="22"/>
    </w:p>
    <w:p w14:paraId="62D4FF59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参赛选手应遵守以下要求：（一）仅可访问本队获授权的资产，不得尝试访问其他队伍资源；（二）正式比赛期间关闭非必要互联网访问，现场USB接口按竞赛安全策略封禁，不得自行拷贝数据；（三）组委会原始数据目录为只读，不得修改或删除；（四）账号密码仅限本队使用，不得转借他人，运维操作全程留痕。</w:t>
      </w:r>
    </w:p>
    <w:p w14:paraId="03DE956F">
      <w:pPr>
        <w:pStyle w:val="3"/>
        <w:spacing w:before="240" w:after="80"/>
      </w:pPr>
      <w:bookmarkStart w:id="23" w:name="_LarkToc00024"/>
      <w:r>
        <w:rPr>
          <w:rFonts w:ascii="黑体" w:hAnsi="黑体" w:eastAsia="黑体"/>
          <w:b/>
          <w:color w:val="000000"/>
          <w:sz w:val="28"/>
        </w:rPr>
        <w:t>九、常见问题处置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5B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E3858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现象</w:t>
            </w:r>
          </w:p>
        </w:tc>
        <w:tc>
          <w:tcPr>
            <w:tcW w:w="4320" w:type="dxa"/>
          </w:tcPr>
          <w:p w14:paraId="2402189C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处置办法</w:t>
            </w:r>
          </w:p>
        </w:tc>
      </w:tr>
      <w:tr w14:paraId="5745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C2A7C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AOne零信任连不上</w:t>
            </w:r>
          </w:p>
        </w:tc>
        <w:tc>
          <w:tcPr>
            <w:tcW w:w="4320" w:type="dxa"/>
          </w:tcPr>
          <w:p w14:paraId="38F7E5B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检查客户端版本与账号密码，确认终端网络后重新连接；仍失败应联系现场技术人员</w:t>
            </w:r>
          </w:p>
        </w:tc>
      </w:tr>
      <w:tr w14:paraId="18AD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BD175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堡垒机看不到本队资产</w:t>
            </w:r>
          </w:p>
        </w:tc>
        <w:tc>
          <w:tcPr>
            <w:tcW w:w="4320" w:type="dxa"/>
          </w:tcPr>
          <w:p w14:paraId="5B81B20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确认已连接AOne零信任，确认所登录账号为本队账号</w:t>
            </w:r>
          </w:p>
        </w:tc>
      </w:tr>
      <w:tr w14:paraId="75DF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BFCB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SFTP连不上</w:t>
            </w:r>
          </w:p>
        </w:tc>
        <w:tc>
          <w:tcPr>
            <w:tcW w:w="4320" w:type="dxa"/>
          </w:tcPr>
          <w:p w14:paraId="44ACA7C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核对主机IP、用户名、密码及端口22，确认本队主机在线</w:t>
            </w:r>
          </w:p>
        </w:tc>
      </w:tr>
      <w:tr w14:paraId="34DB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94A55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看不到sg和sjysx目录</w:t>
            </w:r>
          </w:p>
        </w:tc>
        <w:tc>
          <w:tcPr>
            <w:tcW w:w="4320" w:type="dxa"/>
          </w:tcPr>
          <w:p w14:paraId="3013538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确认连接的是本队虚机，必要时联系运维确认NFS已挂载</w:t>
            </w:r>
          </w:p>
        </w:tc>
      </w:tr>
      <w:tr w14:paraId="4BD7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52523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Jupyter无法打开</w:t>
            </w:r>
          </w:p>
        </w:tc>
        <w:tc>
          <w:tcPr>
            <w:tcW w:w="4320" w:type="dxa"/>
          </w:tcPr>
          <w:p w14:paraId="6E94834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确认访问地址为http://【主机IP】:8888，检查Jupyter服务状态</w:t>
            </w:r>
          </w:p>
        </w:tc>
      </w:tr>
      <w:tr w14:paraId="15A8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8F4D1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容器启动失败</w:t>
            </w:r>
          </w:p>
        </w:tc>
        <w:tc>
          <w:tcPr>
            <w:tcW w:w="4320" w:type="dxa"/>
          </w:tcPr>
          <w:p w14:paraId="122C82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查看容器日志；常见原因为架构不匹配、端口被占用或卷路径错误</w:t>
            </w:r>
          </w:p>
        </w:tc>
      </w:tr>
      <w:tr w14:paraId="0335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EB4D2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pip安装失败</w:t>
            </w:r>
          </w:p>
        </w:tc>
        <w:tc>
          <w:tcPr>
            <w:tcW w:w="4320" w:type="dxa"/>
          </w:tcPr>
          <w:p w14:paraId="4E4722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正式环境无公网，应使用内网镜像源或离线依赖包</w:t>
            </w:r>
          </w:p>
        </w:tc>
      </w:tr>
      <w:tr w14:paraId="5236A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E75AF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大模型API调用失败</w:t>
            </w:r>
          </w:p>
        </w:tc>
        <w:tc>
          <w:tcPr>
            <w:tcW w:w="4320" w:type="dxa"/>
          </w:tcPr>
          <w:p w14:paraId="03CCB99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核对地址、模型名称与密钥，确认请求地址以/v1/chat/completions结尾</w:t>
            </w:r>
          </w:p>
        </w:tc>
      </w:tr>
      <w:tr w14:paraId="6181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280FA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录屏文件找不到</w:t>
            </w:r>
          </w:p>
        </w:tc>
        <w:tc>
          <w:tcPr>
            <w:tcW w:w="4320" w:type="dxa"/>
          </w:tcPr>
          <w:p w14:paraId="54D8D9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在OBS“设置→输出”中查看保存路径</w:t>
            </w:r>
          </w:p>
        </w:tc>
      </w:tr>
      <w:tr w14:paraId="3807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6986C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文件传输中断</w:t>
            </w:r>
          </w:p>
        </w:tc>
        <w:tc>
          <w:tcPr>
            <w:tcW w:w="4320" w:type="dxa"/>
          </w:tcPr>
          <w:p w14:paraId="0763DD6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先检查网络、目标目录和磁盘空间，确认原因后重新发起传输；大文件建议分批传输</w:t>
            </w:r>
          </w:p>
        </w:tc>
      </w:tr>
      <w:tr w14:paraId="02C3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25B5C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数据文件缺失或损坏</w:t>
            </w:r>
          </w:p>
        </w:tc>
        <w:tc>
          <w:tcPr>
            <w:tcW w:w="4320" w:type="dxa"/>
          </w:tcPr>
          <w:p w14:paraId="65BBDFE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不要自行处理，联系现场技术人员由数据提供方重新提供</w:t>
            </w:r>
          </w:p>
        </w:tc>
      </w:tr>
      <w:tr w14:paraId="37D7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07FBF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传输明显变慢</w:t>
            </w:r>
          </w:p>
        </w:tc>
        <w:tc>
          <w:tcPr>
            <w:tcW w:w="4320" w:type="dxa"/>
          </w:tcPr>
          <w:p w14:paraId="049DB55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多队并发与共享带宽会影响速率，应避开截止前高峰，提前分批上传</w:t>
            </w:r>
          </w:p>
        </w:tc>
      </w:tr>
    </w:tbl>
    <w:p w14:paraId="59DFA8B2">
      <w:pPr>
        <w:spacing w:after="40"/>
      </w:pPr>
    </w:p>
    <w:p w14:paraId="6E42BB39">
      <w:pPr>
        <w:spacing w:after="40"/>
        <w:ind w:firstLine="480"/>
      </w:pPr>
      <w:bookmarkStart w:id="24" w:name="_LarkToc00025"/>
      <w:r>
        <w:rPr>
          <w:rFonts w:ascii="仿宋" w:hAnsi="仿宋" w:eastAsia="仿宋"/>
          <w:b/>
          <w:color w:val="FF0000"/>
          <w:sz w:val="24"/>
        </w:rPr>
        <w:t>【待完善】现场技术支持工位位置</w:t>
      </w:r>
      <w:r>
        <w:rPr>
          <w:rFonts w:hint="eastAsia"/>
          <w:b/>
          <w:color w:val="FF0000"/>
          <w:sz w:val="24"/>
          <w:lang w:eastAsia="zh-CN"/>
        </w:rPr>
        <w:t>？</w:t>
      </w:r>
      <w:r>
        <w:rPr>
          <w:rFonts w:ascii="仿宋" w:hAnsi="仿宋" w:eastAsia="仿宋"/>
          <w:b/>
          <w:color w:val="FF0000"/>
          <w:sz w:val="24"/>
        </w:rPr>
        <w:t>答疑联系方式。</w:t>
      </w:r>
    </w:p>
    <w:p w14:paraId="4B1E401E">
      <w:pPr>
        <w:pStyle w:val="3"/>
        <w:spacing w:before="240" w:after="80"/>
      </w:pPr>
      <w:r>
        <w:rPr>
          <w:rFonts w:ascii="黑体" w:hAnsi="黑体" w:eastAsia="黑体"/>
          <w:b/>
          <w:color w:val="000000"/>
          <w:sz w:val="28"/>
        </w:rPr>
        <w:t>十、附件</w:t>
      </w:r>
      <w:bookmarkEnd w:id="24"/>
    </w:p>
    <w:p w14:paraId="1AB10962">
      <w:pPr>
        <w:spacing w:after="40" w:line="336" w:lineRule="auto"/>
        <w:ind w:firstLine="480"/>
      </w:pPr>
      <w:r>
        <w:rPr>
          <w:rFonts w:ascii="仿宋" w:hAnsi="仿宋" w:eastAsia="仿宋"/>
          <w:b w:val="0"/>
          <w:color w:val="000000"/>
          <w:sz w:val="24"/>
        </w:rPr>
        <w:t>本手册附《竞赛登记表》《竞赛结果提交申请表》两份表单。参赛队在首次使用竞赛空间前填写竞赛登记表；最终成果定稿后填写结果提交申请表。</w:t>
      </w:r>
    </w:p>
    <w:p w14:paraId="78C612A1">
      <w:pPr>
        <w:pStyle w:val="4"/>
        <w:spacing w:before="120" w:after="40"/>
        <w:rPr>
          <w:rFonts w:ascii="黑体" w:hAnsi="黑体" w:eastAsia="黑体"/>
          <w:b/>
          <w:color w:val="000000"/>
          <w:sz w:val="24"/>
        </w:rPr>
      </w:pPr>
      <w:r>
        <w:rPr>
          <w:rFonts w:ascii="黑体" w:hAnsi="黑体" w:eastAsia="黑体"/>
          <w:b/>
          <w:color w:val="000000"/>
          <w:sz w:val="24"/>
        </w:rPr>
        <w:t>（一）竞赛登记表</w:t>
      </w:r>
    </w:p>
    <w:p w14:paraId="19BBAAB2">
      <w:pPr>
        <w:spacing w:after="40" w:line="336" w:lineRule="auto"/>
        <w:ind w:firstLine="480"/>
        <w:rPr>
          <w:rFonts w:ascii="仿宋" w:hAnsi="仿宋" w:eastAsia="仿宋"/>
          <w:b w:val="0"/>
          <w:color w:val="000000"/>
          <w:sz w:val="24"/>
        </w:rPr>
      </w:pPr>
      <w:r>
        <w:rPr>
          <w:rFonts w:ascii="仿宋" w:hAnsi="仿宋" w:eastAsia="仿宋"/>
          <w:b w:val="0"/>
          <w:color w:val="000000"/>
          <w:sz w:val="24"/>
        </w:rPr>
        <w:t>参赛队在首次使用竞赛空间前填写本表。联系人和导入文件信息应完整；资源需求只填写本队实际申请内容。</w:t>
      </w:r>
    </w:p>
    <w:tbl>
      <w:tblPr>
        <w:tblStyle w:val="34"/>
        <w:tblW w:w="0" w:type="auto"/>
        <w:jc w:val="center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4926094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9A93A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参赛队信息</w:t>
            </w:r>
          </w:p>
          <w:p w14:paraId="20521EF0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6631D3A3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1C307747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7C92848A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3FA164CD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24833283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30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AB90D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参赛队名称</w:t>
            </w:r>
          </w:p>
          <w:p w14:paraId="4A36F1D7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08E08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555780F4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DACB2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14BA7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领队信息</w:t>
            </w:r>
          </w:p>
          <w:p w14:paraId="0968870C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1A0B162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7EF7AE4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05E15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姓名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0A52A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0EC01A2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2199A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0AB9D1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8112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联系电话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A4C05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026AD152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DD333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8B13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5850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身份证号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4229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0BFBD2CB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C8F2E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7B89D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37C4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电子邮箱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AC7B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0DA7ECAE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8D2F2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30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42BEC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赛题编号</w:t>
            </w:r>
          </w:p>
          <w:p w14:paraId="1697C22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88BF5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17C8D642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F21AD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30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528C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登记日期</w:t>
            </w:r>
          </w:p>
          <w:p w14:paraId="2847EDB8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8DAA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年    月    日</w:t>
            </w:r>
          </w:p>
        </w:tc>
      </w:tr>
      <w:tr w14:paraId="1888F37B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exact"/>
          <w:jc w:val="center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D06C2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资源需求</w:t>
            </w:r>
          </w:p>
          <w:p w14:paraId="7070D452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30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8BB1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算力资源需求</w:t>
            </w:r>
          </w:p>
          <w:p w14:paraId="37DF02BD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36209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 xml:space="preserve">类型：________  </w:t>
            </w:r>
          </w:p>
          <w:p w14:paraId="43CD2CA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数量：________</w:t>
            </w:r>
          </w:p>
        </w:tc>
      </w:tr>
      <w:tr w14:paraId="5FC1A2CD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7F4187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30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764D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用途说明</w:t>
            </w:r>
          </w:p>
          <w:p w14:paraId="7AD532E4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47A48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2C056C8D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C70D9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拟导入文件</w:t>
            </w:r>
          </w:p>
          <w:p w14:paraId="4A362082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3FCBACF1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223E3489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41B58EB3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75D3CBE5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1070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数据集</w:t>
            </w:r>
          </w:p>
          <w:p w14:paraId="6BE2878C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45F530B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DF39C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名称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E94F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27A90AC3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F5178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E2FBD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D7AB4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大小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C513B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647DA0E9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B388F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281D5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5568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用途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45A8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363AD49A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80396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B8C17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程序</w:t>
            </w:r>
          </w:p>
          <w:p w14:paraId="369E548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48B753C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14AB8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名称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A61E1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40BE1DA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9E34B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D5C3B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D4D1D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大小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B7097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61BE007E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70CBB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53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8916C1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242B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用途</w:t>
            </w: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2197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51FB840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5" w:hRule="exact"/>
          <w:jc w:val="center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4D69E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安全承诺</w:t>
            </w:r>
          </w:p>
          <w:p w14:paraId="736828B0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30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1AA3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文件安全检查</w:t>
            </w:r>
          </w:p>
          <w:p w14:paraId="28DEBD0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3B189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□ 已完成病毒查杀，拟导入文件不含恶意代码</w:t>
            </w:r>
          </w:p>
        </w:tc>
      </w:tr>
      <w:tr w14:paraId="3F03B634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exact"/>
          <w:jc w:val="center"/>
        </w:trPr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1ABC88">
            <w:pPr>
              <w:spacing w:after="40" w:line="336" w:lineRule="auto"/>
              <w:ind w:firstLine="480"/>
              <w:rPr>
                <w:rFonts w:ascii="仿宋" w:hAnsi="仿宋" w:eastAsia="仿宋"/>
                <w:b w:val="0"/>
                <w:color w:val="000000"/>
                <w:sz w:val="24"/>
              </w:rPr>
            </w:pPr>
          </w:p>
        </w:tc>
        <w:tc>
          <w:tcPr>
            <w:tcW w:w="30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97EEC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队伍代表签字及日期</w:t>
            </w:r>
          </w:p>
          <w:p w14:paraId="6D029959">
            <w:pPr>
              <w:spacing w:after="40" w:line="336" w:lineRule="auto"/>
              <w:ind w:firstLine="480"/>
              <w:rPr>
                <w:rFonts w:ascii="仿宋" w:hAnsi="仿宋" w:eastAsia="仿宋"/>
                <w:b w:val="0"/>
                <w:color w:val="000000"/>
                <w:sz w:val="24"/>
              </w:rPr>
            </w:pPr>
          </w:p>
        </w:tc>
        <w:tc>
          <w:tcPr>
            <w:tcW w:w="4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46673">
            <w:pPr>
              <w:spacing w:after="40" w:line="336" w:lineRule="auto"/>
              <w:ind w:firstLine="480"/>
              <w:rPr>
                <w:rFonts w:ascii="仿宋" w:hAnsi="仿宋" w:eastAsia="仿宋"/>
                <w:b w:val="0"/>
                <w:color w:val="000000"/>
                <w:sz w:val="24"/>
              </w:rPr>
            </w:pPr>
          </w:p>
        </w:tc>
      </w:tr>
    </w:tbl>
    <w:p w14:paraId="7375CD73">
      <w:pPr>
        <w:spacing w:after="40" w:line="336" w:lineRule="auto"/>
        <w:ind w:firstLine="480"/>
        <w:rPr>
          <w:rFonts w:ascii="仿宋" w:hAnsi="仿宋" w:eastAsia="仿宋"/>
          <w:b w:val="0"/>
          <w:color w:val="000000"/>
          <w:sz w:val="24"/>
        </w:rPr>
      </w:pPr>
      <w:r>
        <w:rPr>
          <w:rFonts w:ascii="仿宋" w:hAnsi="仿宋" w:eastAsia="仿宋"/>
          <w:b w:val="0"/>
          <w:color w:val="000000"/>
          <w:sz w:val="24"/>
        </w:rPr>
        <w:t>填写说明：无资源或文件导入需求时，在对应填写栏写“无”。</w:t>
      </w:r>
    </w:p>
    <w:p w14:paraId="4A56DC2D">
      <w:r>
        <w:br w:type="page"/>
      </w:r>
    </w:p>
    <w:p w14:paraId="35580E54">
      <w:pPr>
        <w:pStyle w:val="4"/>
        <w:spacing w:before="120" w:after="40"/>
        <w:rPr>
          <w:rFonts w:ascii="黑体" w:hAnsi="黑体" w:eastAsia="黑体"/>
          <w:b/>
          <w:color w:val="000000"/>
          <w:sz w:val="24"/>
        </w:rPr>
      </w:pPr>
      <w:r>
        <w:rPr>
          <w:rFonts w:ascii="黑体" w:hAnsi="黑体" w:eastAsia="黑体"/>
          <w:b/>
          <w:color w:val="000000"/>
          <w:sz w:val="24"/>
        </w:rPr>
        <w:t>（二）竞赛结果提交申请表</w:t>
      </w:r>
    </w:p>
    <w:p w14:paraId="698FC9BD">
      <w:pPr>
        <w:spacing w:after="40" w:line="336" w:lineRule="auto"/>
        <w:ind w:firstLine="480"/>
        <w:rPr>
          <w:rFonts w:ascii="仿宋" w:hAnsi="仿宋" w:eastAsia="仿宋"/>
          <w:b w:val="0"/>
          <w:color w:val="000000"/>
          <w:sz w:val="24"/>
        </w:rPr>
      </w:pPr>
      <w:r>
        <w:rPr>
          <w:rFonts w:ascii="仿宋" w:hAnsi="仿宋" w:eastAsia="仿宋"/>
          <w:b w:val="0"/>
          <w:color w:val="000000"/>
          <w:sz w:val="24"/>
        </w:rPr>
        <w:t>参赛队在最终成果定稿后填写本表，并与已提交文件一并交组委会核对。</w:t>
      </w:r>
    </w:p>
    <w:tbl>
      <w:tblPr>
        <w:tblStyle w:val="34"/>
        <w:tblW w:w="0" w:type="auto"/>
        <w:jc w:val="center"/>
        <w:tblBorders>
          <w:top w:val="single" w:color="9A9A9A" w:sz="4" w:space="0"/>
          <w:left w:val="single" w:color="9A9A9A" w:sz="4" w:space="0"/>
          <w:bottom w:val="single" w:color="9A9A9A" w:sz="4" w:space="0"/>
          <w:right w:val="single" w:color="9A9A9A" w:sz="4" w:space="0"/>
          <w:insideH w:val="single" w:color="9A9A9A" w:sz="4" w:space="0"/>
          <w:insideV w:val="single" w:color="9A9A9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0626F170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6601E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参赛队信息</w:t>
            </w:r>
          </w:p>
          <w:p w14:paraId="07BD0F17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23E3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参赛队名称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796BA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30CAB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联系人姓名</w:t>
            </w:r>
          </w:p>
        </w:tc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1994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76BE5293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E00F34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87739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赛题编号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E33F4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bookmarkStart w:id="25" w:name="_GoBack"/>
            <w:bookmarkEnd w:id="25"/>
          </w:p>
        </w:tc>
        <w:tc>
          <w:tcPr>
            <w:tcW w:w="1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72F5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联系电话</w:t>
            </w:r>
          </w:p>
        </w:tc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957B1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03D2C52A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exac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7243F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申请时间</w:t>
            </w:r>
          </w:p>
        </w:tc>
        <w:tc>
          <w:tcPr>
            <w:tcW w:w="782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7531E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年    月    日    时    分</w:t>
            </w:r>
          </w:p>
          <w:p w14:paraId="6AF9DAC4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2EBF4A59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3E9D3F38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318AEA0C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  <w:jc w:val="center"/>
        </w:trPr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12D29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成果清单</w:t>
            </w:r>
          </w:p>
          <w:p w14:paraId="38F11C30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59157971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  <w:p w14:paraId="3028B3D3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B015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提交文件类别</w:t>
            </w:r>
          </w:p>
        </w:tc>
        <w:tc>
          <w:tcPr>
            <w:tcW w:w="6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3340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□ 数据集  □ 测试结果  □ 代码  □ 模型</w:t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br w:type="textWrapping"/>
            </w:r>
            <w:r>
              <w:rPr>
                <w:rFonts w:hint="eastAsia"/>
                <w:b w:val="0"/>
                <w:color w:val="000000"/>
                <w:sz w:val="21"/>
                <w:lang w:eastAsia="zh-CN"/>
              </w:rPr>
              <w:t>□</w:t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t xml:space="preserve"> 完整报告  □ 配套录屏  □ 其他：________</w:t>
            </w:r>
          </w:p>
          <w:p w14:paraId="4F70036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7257F73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5C00372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exact"/>
          <w:jc w:val="center"/>
        </w:trPr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FECC7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65E07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主要文件名</w:t>
            </w:r>
          </w:p>
        </w:tc>
        <w:tc>
          <w:tcPr>
            <w:tcW w:w="6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2D93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378F6A35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1D14BB38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7B88CE51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exact"/>
          <w:jc w:val="center"/>
        </w:trPr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8627E2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AFD1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复现方式</w:t>
            </w:r>
          </w:p>
        </w:tc>
        <w:tc>
          <w:tcPr>
            <w:tcW w:w="6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96AA1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07DC608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1BD59EA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33165979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exact"/>
          <w:jc w:val="center"/>
        </w:trPr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0006D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8044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依赖说明</w:t>
            </w:r>
          </w:p>
        </w:tc>
        <w:tc>
          <w:tcPr>
            <w:tcW w:w="6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F59B1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7493F1CF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55E3E693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74C35163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exac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B3AEE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成果说明</w:t>
            </w:r>
          </w:p>
        </w:tc>
        <w:tc>
          <w:tcPr>
            <w:tcW w:w="782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293E9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1. 最终成果应与申请表所列类别、文件名一致。</w:t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t>2. 成果包括数据集、测试结果、代码、模型、完整报告和配套录屏。</w:t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t>3. 附必要的运行说明，确保主要过程和结果可以复现。</w:t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br w:type="textWrapping"/>
            </w:r>
            <w:r>
              <w:rPr>
                <w:rFonts w:ascii="仿宋" w:hAnsi="仿宋" w:eastAsia="仿宋"/>
                <w:b w:val="0"/>
                <w:color w:val="000000"/>
                <w:sz w:val="21"/>
              </w:rPr>
              <w:t>4. 最终提交并签字确认后，不得修改、替换或删除已提交文件。</w:t>
            </w:r>
          </w:p>
          <w:p w14:paraId="315FF9C7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583C60C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21FAA81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71967FA8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exact"/>
          <w:jc w:val="center"/>
        </w:trPr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F3C5F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确认签字</w:t>
            </w:r>
          </w:p>
          <w:p w14:paraId="50466520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259B9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文件一致性</w:t>
            </w:r>
          </w:p>
        </w:tc>
        <w:tc>
          <w:tcPr>
            <w:tcW w:w="6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01E8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□ 表内类别、文件名与远端文件一致，文件可打开</w:t>
            </w:r>
          </w:p>
          <w:p w14:paraId="0C616942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58D459F6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400B1AEE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exact"/>
          <w:jc w:val="center"/>
        </w:trPr>
        <w:tc>
          <w:tcPr>
            <w:tcW w:w="11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AC2CB4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F244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队伍代表签字及日期</w:t>
            </w:r>
          </w:p>
        </w:tc>
        <w:tc>
          <w:tcPr>
            <w:tcW w:w="64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C26DD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6EC7CCCD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00B7BDE1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  <w:tr w14:paraId="168DDBB5">
        <w:tblPrEx>
          <w:tblBorders>
            <w:top w:val="single" w:color="9A9A9A" w:sz="4" w:space="0"/>
            <w:left w:val="single" w:color="9A9A9A" w:sz="4" w:space="0"/>
            <w:bottom w:val="single" w:color="9A9A9A" w:sz="4" w:space="0"/>
            <w:right w:val="single" w:color="9A9A9A" w:sz="4" w:space="0"/>
            <w:insideH w:val="single" w:color="9A9A9A" w:sz="4" w:space="0"/>
            <w:insideV w:val="single" w:color="9A9A9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exac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99FF0">
            <w:pPr>
              <w:spacing w:after="0" w:line="240" w:lineRule="auto"/>
              <w:rPr>
                <w:rFonts w:ascii="黑体" w:hAnsi="黑体" w:eastAsia="黑体"/>
                <w:b/>
                <w:color w:val="000000"/>
                <w:sz w:val="21"/>
              </w:rPr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提交说明</w:t>
            </w:r>
          </w:p>
        </w:tc>
        <w:tc>
          <w:tcPr>
            <w:tcW w:w="782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854C0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签字后发送至组委会指定邮箱；现场导出文件并核对清单时，再按要求签字确认。</w:t>
            </w:r>
          </w:p>
          <w:p w14:paraId="4854131E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4B3E554B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  <w:p w14:paraId="0579AE75">
            <w:pPr>
              <w:spacing w:after="0" w:line="240" w:lineRule="auto"/>
              <w:rPr>
                <w:rFonts w:ascii="仿宋" w:hAnsi="仿宋" w:eastAsia="仿宋"/>
                <w:b w:val="0"/>
                <w:color w:val="000000"/>
                <w:sz w:val="21"/>
              </w:rPr>
            </w:pPr>
          </w:p>
        </w:tc>
      </w:tr>
    </w:tbl>
    <w:p w14:paraId="674EC6C5">
      <w:pPr>
        <w:spacing w:after="4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altName w:val="Segoe Print"/>
    <w:panose1 w:val="00000500000000000000"/>
    <w:charset w:val="00"/>
    <w:family w:val="auto"/>
    <w:pitch w:val="default"/>
    <w:sig w:usb0="00000000" w:usb1="00000000" w:usb2="00000000" w:usb3="00000000" w:csb0="6000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9991c36d358dd6c76cf07d74cbf8cf796bccb90f8d92a6a661ceaf929f6128c8:34ec574e607c7930868b8f1669f32931c8ea626992eca3851434602bc790d3f5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2A51F9"/>
    <w:rsid w:val="2EEE431E"/>
    <w:rsid w:val="50CA0599"/>
    <w:rsid w:val="732E0386"/>
    <w:rsid w:val="F7759039"/>
    <w:rsid w:val="FFFF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1867</Words>
  <Characters>2603</Characters>
  <Lines>0</Lines>
  <Paragraphs>0</Paragraphs>
  <TotalTime>206</TotalTime>
  <ScaleCrop>false</ScaleCrop>
  <LinksUpToDate>false</LinksUpToDate>
  <CharactersWithSpaces>2683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A桂荣</cp:lastModifiedBy>
  <dcterms:modified xsi:type="dcterms:W3CDTF">2026-10-10T10:29:43Z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eyJoZGlkIjoiNzk1YWY1YWU2MTAxNDMyZWQ5MDY2Y2ZiZTljNjIxMDYiLCJ1c2VySWQiOiIzNjU4Mzk4MjMifQ==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C08A00AE5F9D417082631658906AC7A4_13</vt:lpwstr>
  </property>
</Properties>
</file>