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 New Roman" w:eastAsia="黑体" w:cs="Times New Roman"/>
          <w:b/>
          <w:sz w:val="32"/>
          <w:szCs w:val="24"/>
        </w:rPr>
      </w:pP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面 试 记 录 </w:t>
      </w:r>
      <w:r>
        <w:rPr>
          <w:rFonts w:ascii="黑体" w:hAnsi="Times New Roman" w:eastAsia="黑体" w:cs="Times New Roman"/>
          <w:b/>
          <w:sz w:val="32"/>
          <w:szCs w:val="24"/>
        </w:rPr>
        <w:t>与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评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估</w:t>
      </w:r>
      <w:r>
        <w:rPr>
          <w:rFonts w:hint="eastAsia" w:ascii="黑体" w:hAnsi="Times New Roman" w:eastAsia="黑体" w:cs="Times New Roman"/>
          <w:b/>
          <w:sz w:val="32"/>
          <w:szCs w:val="24"/>
        </w:rPr>
        <w:t xml:space="preserve"> </w:t>
      </w:r>
      <w:r>
        <w:rPr>
          <w:rFonts w:ascii="黑体" w:hAnsi="Times New Roman" w:eastAsia="黑体" w:cs="Times New Roman"/>
          <w:b/>
          <w:sz w:val="32"/>
          <w:szCs w:val="24"/>
        </w:rPr>
        <w:t>表</w:t>
      </w:r>
    </w:p>
    <w:p>
      <w:pPr>
        <w:wordWrap w:val="0"/>
        <w:ind w:right="629"/>
        <w:rPr>
          <w:rFonts w:hint="eastAsia" w:ascii="微软雅黑" w:hAnsi="微软雅黑" w:eastAsia="微软雅黑" w:cs="Times New Roman"/>
          <w:b/>
          <w:sz w:val="32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szCs w:val="24"/>
        </w:rPr>
        <w:t>面试人</w:t>
      </w:r>
      <w:r>
        <w:rPr>
          <w:rFonts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桂士金</w:t>
      </w:r>
      <w:r>
        <w:rPr>
          <w:rFonts w:hint="eastAsia" w:ascii="微软雅黑" w:hAnsi="微软雅黑" w:eastAsia="微软雅黑" w:cs="Times New Roman"/>
          <w:szCs w:val="24"/>
        </w:rPr>
        <w:t xml:space="preserve">                                                            面试</w:t>
      </w:r>
      <w:r>
        <w:rPr>
          <w:rFonts w:ascii="微软雅黑" w:hAnsi="微软雅黑" w:eastAsia="微软雅黑" w:cs="Times New Roman"/>
          <w:szCs w:val="24"/>
        </w:rPr>
        <w:t>时间</w:t>
      </w:r>
      <w:r>
        <w:rPr>
          <w:rFonts w:hint="eastAsia" w:ascii="微软雅黑" w:hAnsi="微软雅黑" w:eastAsia="微软雅黑" w:cs="Times New Roman"/>
          <w:szCs w:val="24"/>
        </w:rPr>
        <w:t>：</w:t>
      </w:r>
      <w:r>
        <w:rPr>
          <w:rFonts w:hint="default" w:ascii="微软雅黑" w:hAnsi="微软雅黑" w:eastAsia="微软雅黑" w:cs="Times New Roman"/>
          <w:szCs w:val="24"/>
        </w:rPr>
        <w:t>2018/08/3</w:t>
      </w:r>
      <w:r>
        <w:rPr>
          <w:rFonts w:hint="eastAsia" w:ascii="微软雅黑" w:hAnsi="微软雅黑" w:eastAsia="微软雅黑" w:cs="Times New Roman"/>
          <w:szCs w:val="24"/>
          <w:lang w:val="en-US" w:eastAsia="zh-CN"/>
        </w:rPr>
        <w:t>1</w:t>
      </w:r>
    </w:p>
    <w:tbl>
      <w:tblPr>
        <w:tblStyle w:val="6"/>
        <w:tblW w:w="10655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819"/>
        <w:gridCol w:w="563"/>
        <w:gridCol w:w="141"/>
        <w:gridCol w:w="1388"/>
        <w:gridCol w:w="1374"/>
        <w:gridCol w:w="1469"/>
        <w:gridCol w:w="1653"/>
        <w:gridCol w:w="1267"/>
        <w:gridCol w:w="14"/>
        <w:gridCol w:w="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温健</w:t>
            </w:r>
          </w:p>
        </w:tc>
        <w:tc>
          <w:tcPr>
            <w:tcW w:w="704" w:type="dxa"/>
            <w:gridSpan w:val="2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388" w:type="dxa"/>
            <w:shd w:val="clear" w:color="auto" w:fill="auto"/>
            <w:vAlign w:val="center"/>
          </w:tcPr>
          <w:p>
            <w:pPr>
              <w:widowControl/>
              <w:ind w:right="-105" w:rightChars="-5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应聘岗位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ind w:right="-57" w:rightChars="-27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ind w:right="-158" w:rightChars="-75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期望薪酬</w:t>
            </w:r>
          </w:p>
        </w:tc>
        <w:tc>
          <w:tcPr>
            <w:tcW w:w="1281" w:type="dxa"/>
            <w:gridSpan w:val="2"/>
            <w:shd w:val="clear" w:color="auto" w:fill="auto"/>
            <w:vAlign w:val="center"/>
          </w:tcPr>
          <w:p>
            <w:pPr>
              <w:widowControl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13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K（税前）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来源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□猎头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网站□内推□关系推荐（   ）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</w:p>
        </w:tc>
        <w:tc>
          <w:tcPr>
            <w:tcW w:w="1469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57" w:rightChars="-27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Java软件工程师</w:t>
            </w:r>
          </w:p>
        </w:tc>
        <w:tc>
          <w:tcPr>
            <w:tcW w:w="165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58" w:rightChars="-75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上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一份岗位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薪酬</w:t>
            </w:r>
          </w:p>
        </w:tc>
        <w:tc>
          <w:tcPr>
            <w:tcW w:w="1288" w:type="dxa"/>
            <w:gridSpan w:val="3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60" w:type="dxa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求职</w:t>
            </w:r>
          </w:p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动机</w:t>
            </w:r>
          </w:p>
        </w:tc>
        <w:tc>
          <w:tcPr>
            <w:tcW w:w="3911" w:type="dxa"/>
            <w:gridSpan w:val="4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薪酬待遇</w:t>
            </w:r>
          </w:p>
        </w:tc>
        <w:tc>
          <w:tcPr>
            <w:tcW w:w="1374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规划</w:t>
            </w:r>
          </w:p>
        </w:tc>
        <w:tc>
          <w:tcPr>
            <w:tcW w:w="4410" w:type="dxa"/>
            <w:gridSpan w:val="5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3" w:rightChars="-49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工作经历</w:t>
            </w: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201607-至今</w:t>
            </w:r>
          </w:p>
          <w:p>
            <w:pPr>
              <w:widowControl/>
              <w:adjustRightInd w:val="0"/>
              <w:snapToGrid w:val="0"/>
              <w:ind w:right="-105" w:rightChars="-5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北京冀银科技有限公司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11.5k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val="en-US" w:eastAsia="zh-CN"/>
              </w:rPr>
              <w:t>Java软件工程师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内容：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河北银行智能客服系统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薪酬待遇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201410-201606</w:t>
            </w:r>
          </w:p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信雅达系统工程股份有限公司</w:t>
            </w: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8k</w:t>
            </w: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Calibri" w:hAnsi="Calibri" w:eastAsia="宋体" w:cs="宋体"/>
                <w:b/>
                <w:bCs w:val="0"/>
                <w:sz w:val="18"/>
                <w:szCs w:val="18"/>
              </w:rPr>
              <w:t>岗位和职责：</w:t>
            </w:r>
            <w:r>
              <w:rPr>
                <w:rFonts w:hint="eastAsia" w:ascii="Calibri" w:hAnsi="Calibri" w:eastAsia="宋体" w:cs="宋体"/>
                <w:b/>
                <w:bCs w:val="0"/>
                <w:sz w:val="18"/>
                <w:szCs w:val="18"/>
                <w:lang w:val="en-US" w:eastAsia="zh-CN"/>
              </w:rPr>
              <w:t>Java软件工程师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工作  内容</w:t>
            </w:r>
            <w:r>
              <w:rPr>
                <w:rFonts w:hint="eastAsia" w:ascii="Calibri" w:hAnsi="Calibri" w:eastAsia="宋体" w:cs="宋体"/>
                <w:b/>
                <w:bCs/>
                <w:sz w:val="18"/>
                <w:szCs w:val="18"/>
                <w:lang w:eastAsia="zh-CN"/>
              </w:rPr>
              <w:t>：邢台银行客服系统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离</w:t>
            </w:r>
            <w:r>
              <w:rPr>
                <w:rFonts w:hint="default" w:ascii="Calibri" w:hAnsi="Calibri" w:eastAsia="宋体" w:cs="宋体"/>
                <w:b/>
                <w:bCs/>
                <w:sz w:val="18"/>
                <w:szCs w:val="18"/>
              </w:rPr>
              <w:t>职  原因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：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薪酬待遇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3" w:hRule="atLeast"/>
        </w:trPr>
        <w:tc>
          <w:tcPr>
            <w:tcW w:w="960" w:type="dxa"/>
            <w:vMerge w:val="continue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382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1529" w:type="dxa"/>
            <w:gridSpan w:val="2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right="-105" w:rightChars="-50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5784" w:type="dxa"/>
            <w:gridSpan w:val="6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hint="eastAsia" w:ascii="Calibri" w:hAnsi="Calibri" w:eastAsia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21" w:type="dxa"/>
          <w:trHeight w:val="404" w:hRule="atLeast"/>
        </w:trPr>
        <w:tc>
          <w:tcPr>
            <w:tcW w:w="277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563" w:type="dxa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评分</w:t>
            </w:r>
          </w:p>
        </w:tc>
        <w:tc>
          <w:tcPr>
            <w:tcW w:w="7292" w:type="dxa"/>
            <w:gridSpan w:val="6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简述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基础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素质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气质形象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ind w:firstLine="105" w:firstLineChars="5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端庄稳重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沟通能力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主动沟通意愿不强烈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学习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自我学习能力较强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379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ind w:left="-84" w:leftChars="-40" w:firstLine="25" w:firstLineChars="12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问题识别与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解决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能够独立解决项目中的实际问题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专业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技能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/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经验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行业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洞察与感知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对软件开发行业的技术发展有一定的理解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专业技能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对SSH、SSM等软件开发框架熟练，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侧重后端技术发展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业务知识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对系统也有有较深的理解，能够根据业主/客户的需求对业务进行优化调整。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岗位经验匹配度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适合Java软件工程师（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高级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）岗位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restart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内驱力/动机/心态</w:t>
            </w: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坚韧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 xml:space="preserve"> 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任性较强，有一定的承压能力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热情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对工作热情较高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对客户的承若能够很好的兑现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洞察力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有一定的洞察力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理解力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有较好的理解能力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决断力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ab/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有一定的决断力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454" w:hRule="atLeast"/>
        </w:trPr>
        <w:tc>
          <w:tcPr>
            <w:tcW w:w="960" w:type="dxa"/>
            <w:vMerge w:val="continue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819" w:type="dxa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执行力</w:t>
            </w:r>
          </w:p>
        </w:tc>
        <w:tc>
          <w:tcPr>
            <w:tcW w:w="563" w:type="dxa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7306" w:type="dxa"/>
            <w:gridSpan w:val="7"/>
            <w:shd w:val="clear" w:color="auto" w:fill="auto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能够很好的执行贯彻公司和上级布置的任务。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潜在问题</w:t>
            </w:r>
          </w:p>
          <w:p>
            <w:pPr>
              <w:widowControl/>
              <w:adjustRightInd w:val="0"/>
              <w:snapToGrid w:val="0"/>
              <w:ind w:left="113" w:right="113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与缺点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  <w:t>行业转换，从银行客户业务转向交通业务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40" w:hRule="atLeast"/>
        </w:trPr>
        <w:tc>
          <w:tcPr>
            <w:tcW w:w="960" w:type="dxa"/>
            <w:textDirection w:val="tbRlV"/>
            <w:vAlign w:val="center"/>
          </w:tcPr>
          <w:p>
            <w:pPr>
              <w:widowControl/>
              <w:adjustRightInd w:val="0"/>
              <w:snapToGrid w:val="0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综合意见</w:t>
            </w:r>
          </w:p>
        </w:tc>
        <w:tc>
          <w:tcPr>
            <w:tcW w:w="9695" w:type="dxa"/>
            <w:gridSpan w:val="10"/>
            <w:vAlign w:val="center"/>
          </w:tcPr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可以考虑选择；入职时间可能需要1个月，沟通是否可以尽快。</w:t>
            </w:r>
          </w:p>
          <w:p>
            <w:pPr>
              <w:widowControl/>
              <w:adjustRightInd w:val="0"/>
              <w:snapToGrid w:val="0"/>
              <w:jc w:val="left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  <w:p>
            <w:pPr>
              <w:widowControl/>
              <w:adjustRightInd w:val="0"/>
              <w:snapToGrid w:val="0"/>
              <w:ind w:right="-113" w:rightChars="-54"/>
              <w:jc w:val="left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52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可供选择  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sym w:font="Wingdings 2" w:char="00A3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不宜录用 □储备      </w:t>
            </w:r>
            <w:r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  <w:t>面试人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： 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桂士金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 xml:space="preserve">         日期：</w:t>
            </w:r>
            <w:r>
              <w:rPr>
                <w:rFonts w:hint="default" w:ascii="微软雅黑" w:hAnsi="微软雅黑" w:eastAsia="微软雅黑" w:cs="宋体"/>
                <w:color w:val="000000"/>
                <w:kern w:val="0"/>
                <w:szCs w:val="21"/>
              </w:rPr>
              <w:t>2018-08-3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1</w:t>
            </w:r>
          </w:p>
        </w:tc>
      </w:tr>
    </w:tbl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宋体"/>
          <w:color w:val="000000"/>
          <w:kern w:val="0"/>
          <w:szCs w:val="21"/>
        </w:rPr>
        <w:t>评分标准：</w:t>
      </w:r>
      <w:r>
        <w:rPr>
          <w:rFonts w:ascii="微软雅黑" w:hAnsi="微软雅黑" w:eastAsia="微软雅黑" w:cs="Times New Roman"/>
          <w:szCs w:val="21"/>
        </w:rPr>
        <w:t>对每一项目按1-</w:t>
      </w:r>
      <w:r>
        <w:rPr>
          <w:rFonts w:hint="eastAsia" w:ascii="微软雅黑" w:hAnsi="微软雅黑" w:eastAsia="微软雅黑" w:cs="Times New Roman"/>
          <w:szCs w:val="21"/>
        </w:rPr>
        <w:t>5</w:t>
      </w:r>
      <w:r>
        <w:rPr>
          <w:rFonts w:ascii="微软雅黑" w:hAnsi="微软雅黑" w:eastAsia="微软雅黑" w:cs="Times New Roman"/>
          <w:szCs w:val="21"/>
        </w:rPr>
        <w:t>级来评定，</w:t>
      </w:r>
      <w:r>
        <w:rPr>
          <w:rFonts w:hint="eastAsia" w:ascii="微软雅黑" w:hAnsi="微软雅黑" w:eastAsia="微软雅黑" w:cs="Times New Roman"/>
          <w:szCs w:val="21"/>
        </w:rPr>
        <w:t>5分</w:t>
      </w:r>
      <w:r>
        <w:rPr>
          <w:rFonts w:ascii="微软雅黑" w:hAnsi="微软雅黑" w:eastAsia="微软雅黑" w:cs="Times New Roman"/>
          <w:szCs w:val="21"/>
        </w:rPr>
        <w:t>是最高评定，</w:t>
      </w:r>
      <w:r>
        <w:rPr>
          <w:rFonts w:hint="eastAsia" w:ascii="微软雅黑" w:hAnsi="微软雅黑" w:eastAsia="微软雅黑" w:cs="Times New Roman"/>
          <w:szCs w:val="21"/>
        </w:rPr>
        <w:t>1分</w:t>
      </w:r>
      <w:r>
        <w:rPr>
          <w:rFonts w:ascii="微软雅黑" w:hAnsi="微软雅黑" w:eastAsia="微软雅黑" w:cs="Times New Roman"/>
          <w:szCs w:val="21"/>
        </w:rPr>
        <w:t>是最低评定</w:t>
      </w:r>
      <w:r>
        <w:rPr>
          <w:rFonts w:hint="eastAsia" w:ascii="微软雅黑" w:hAnsi="微软雅黑" w:eastAsia="微软雅黑" w:cs="Times New Roman"/>
          <w:szCs w:val="21"/>
        </w:rPr>
        <w:t>。</w:t>
      </w:r>
    </w:p>
    <w:sectPr>
      <w:pgSz w:w="11906" w:h="16838"/>
      <w:pgMar w:top="454" w:right="454" w:bottom="454" w:left="7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30C86"/>
    <w:rsid w:val="0008069F"/>
    <w:rsid w:val="00107980"/>
    <w:rsid w:val="001D6B17"/>
    <w:rsid w:val="002551D9"/>
    <w:rsid w:val="00294853"/>
    <w:rsid w:val="00297F50"/>
    <w:rsid w:val="002D0AE5"/>
    <w:rsid w:val="002E02A2"/>
    <w:rsid w:val="003F34AC"/>
    <w:rsid w:val="00496E85"/>
    <w:rsid w:val="004D5B4E"/>
    <w:rsid w:val="00503B5B"/>
    <w:rsid w:val="00510269"/>
    <w:rsid w:val="00523576"/>
    <w:rsid w:val="00531EF0"/>
    <w:rsid w:val="00590425"/>
    <w:rsid w:val="00600F5C"/>
    <w:rsid w:val="006807D4"/>
    <w:rsid w:val="006D4875"/>
    <w:rsid w:val="006F26D3"/>
    <w:rsid w:val="007574C5"/>
    <w:rsid w:val="0075775B"/>
    <w:rsid w:val="008B3AA3"/>
    <w:rsid w:val="008F244B"/>
    <w:rsid w:val="008F76F0"/>
    <w:rsid w:val="00990FBA"/>
    <w:rsid w:val="009D5F5E"/>
    <w:rsid w:val="009E77AE"/>
    <w:rsid w:val="00A60641"/>
    <w:rsid w:val="00B20C4E"/>
    <w:rsid w:val="00BC32E6"/>
    <w:rsid w:val="00C254FC"/>
    <w:rsid w:val="00C30C86"/>
    <w:rsid w:val="00C41B55"/>
    <w:rsid w:val="00CB7260"/>
    <w:rsid w:val="00CE4778"/>
    <w:rsid w:val="00DD3E3A"/>
    <w:rsid w:val="00E256E0"/>
    <w:rsid w:val="00E31452"/>
    <w:rsid w:val="00F710AB"/>
    <w:rsid w:val="08090E3B"/>
    <w:rsid w:val="0A1F2F6C"/>
    <w:rsid w:val="0AE450EC"/>
    <w:rsid w:val="0BCA2A94"/>
    <w:rsid w:val="115958D3"/>
    <w:rsid w:val="123C6A95"/>
    <w:rsid w:val="158219E7"/>
    <w:rsid w:val="1C8D004C"/>
    <w:rsid w:val="1D972CEA"/>
    <w:rsid w:val="23AD6D8E"/>
    <w:rsid w:val="2B4E54F3"/>
    <w:rsid w:val="2BEE3A69"/>
    <w:rsid w:val="2D57CDC0"/>
    <w:rsid w:val="393D6BC2"/>
    <w:rsid w:val="3FBD960D"/>
    <w:rsid w:val="3FD5C1B8"/>
    <w:rsid w:val="412769CC"/>
    <w:rsid w:val="59751098"/>
    <w:rsid w:val="65CB6240"/>
    <w:rsid w:val="7281415B"/>
    <w:rsid w:val="748276C1"/>
    <w:rsid w:val="749F6325"/>
    <w:rsid w:val="7A71510B"/>
    <w:rsid w:val="7B197E81"/>
    <w:rsid w:val="7B3A1759"/>
    <w:rsid w:val="7DFDFEF2"/>
    <w:rsid w:val="7EFDAF33"/>
    <w:rsid w:val="7F5A60E9"/>
    <w:rsid w:val="7FDA8A9D"/>
    <w:rsid w:val="BCF6A3B0"/>
    <w:rsid w:val="C7D79080"/>
    <w:rsid w:val="D2FF755F"/>
    <w:rsid w:val="E77EC282"/>
    <w:rsid w:val="F1DD054C"/>
    <w:rsid w:val="F3C6AB98"/>
    <w:rsid w:val="F7D60A6A"/>
    <w:rsid w:val="F8FD88F2"/>
    <w:rsid w:val="FBB70510"/>
    <w:rsid w:val="FBFCE649"/>
    <w:rsid w:val="FDBD9312"/>
    <w:rsid w:val="FF7B506C"/>
    <w:rsid w:val="FFFBA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123xz.org</Company>
  <Pages>1</Pages>
  <Words>71</Words>
  <Characters>405</Characters>
  <Lines>3</Lines>
  <Paragraphs>1</Paragraphs>
  <TotalTime>3</TotalTime>
  <ScaleCrop>false</ScaleCrop>
  <LinksUpToDate>false</LinksUpToDate>
  <CharactersWithSpaces>475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2018-04-13T10:30:00Z</dcterms:created>
  <dc:creator>小左右</dc:creator>
  <cp:lastModifiedBy>flome</cp:lastModifiedBy>
  <cp:lastPrinted>2018-06-25T14:24:00Z</cp:lastPrinted>
  <dcterms:modified xsi:type="dcterms:W3CDTF">2018-09-01T02:51:50Z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