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400"/>
        <w:gridCol w:w="5400"/>
      </w:tblGrid>
      <w:tr>
        <w:tc>
          <w:tcPr>
            <w:tcW w:type="dxa" w:w="3600"/>
            <w:shd w:fill="E8E8E8"/>
            <w:tcBorders>
              <w:top w:val="none"/>
              <w:left w:val="none"/>
              <w:bottom w:val="none"/>
              <w:right w:val="none"/>
            </w:tcBorders>
          </w:tcPr>
          <w:p>
            <w:r/>
          </w:p>
          <w:p>
            <w:pPr>
              <w:spacing w:before="0" w:after="0"/>
            </w:pPr>
            <w:r>
              <w:rPr>
                <w:rFonts w:ascii="Calibri" w:hAnsi="Calibri"/>
                <w:b/>
                <w:i w:val="0"/>
                <w:sz w:val="36"/>
              </w:rPr>
              <w:t>MATTHEW</w:t>
            </w:r>
          </w:p>
          <w:p>
            <w:pPr>
              <w:spacing w:before="0" w:after="160"/>
            </w:pPr>
            <w:r>
              <w:rPr>
                <w:rFonts w:ascii="Calibri" w:hAnsi="Calibri"/>
                <w:b/>
                <w:i w:val="0"/>
                <w:sz w:val="36"/>
              </w:rPr>
              <w:t>SCOTT</w:t>
            </w:r>
          </w:p>
          <w:p>
            <w:pPr>
              <w:spacing w:before="0" w:after="0"/>
            </w:pPr>
            <w:r>
              <w:rPr>
                <w:rFonts w:ascii="Calibri" w:hAnsi="Calibri"/>
                <w:b/>
                <w:i w:val="0"/>
                <w:sz w:val="20"/>
              </w:rPr>
              <w:t>SENIOR BUSINESS</w:t>
            </w:r>
          </w:p>
          <w:p>
            <w:pPr>
              <w:spacing w:before="0" w:after="240"/>
            </w:pPr>
            <w:r>
              <w:rPr>
                <w:rFonts w:ascii="Calibri" w:hAnsi="Calibri"/>
                <w:b/>
                <w:i w:val="0"/>
                <w:sz w:val="20"/>
              </w:rPr>
              <w:t>ANALYST</w:t>
            </w:r>
          </w:p>
          <w:p>
            <w:pPr>
              <w:spacing w:before="0" w:after="80"/>
            </w:pPr>
            <w:r>
              <w:rPr>
                <w:rFonts w:ascii="Calibri" w:hAnsi="Calibri"/>
                <w:b/>
                <w:i w:val="0"/>
                <w:color w:val="C75480"/>
                <w:sz w:val="20"/>
              </w:rPr>
              <w:t>CONTACT</w:t>
            </w:r>
          </w:p>
          <w:p>
            <w:pPr>
              <w:spacing w:before="0" w:after="40"/>
            </w:pPr>
            <w:r>
              <w:rPr>
                <w:rFonts w:ascii="Calibri" w:hAnsi="Calibri"/>
                <w:b w:val="0"/>
                <w:i w:val="0"/>
                <w:sz w:val="16"/>
              </w:rPr>
              <w:t>Louisville, KY</w:t>
            </w:r>
          </w:p>
          <w:p>
            <w:pPr>
              <w:spacing w:before="0" w:after="40"/>
            </w:pPr>
            <w:r>
              <w:rPr>
                <w:rFonts w:ascii="Calibri" w:hAnsi="Calibri"/>
                <w:b w:val="0"/>
                <w:i w:val="0"/>
                <w:sz w:val="16"/>
              </w:rPr>
              <w:t>502-345-0525</w:t>
            </w:r>
          </w:p>
          <w:p>
            <w:pPr>
              <w:spacing w:before="0" w:after="40"/>
            </w:pPr>
            <w:r>
              <w:rPr>
                <w:rFonts w:ascii="Calibri" w:hAnsi="Calibri"/>
                <w:b w:val="0"/>
                <w:i w:val="0"/>
                <w:sz w:val="14"/>
              </w:rPr>
              <w:t>matthewdscott7@gmail.com</w:t>
            </w:r>
          </w:p>
          <w:p>
            <w:pPr>
              <w:spacing w:before="0" w:after="240"/>
            </w:pPr>
            <w:r>
              <w:rPr>
                <w:rFonts w:ascii="Calibri" w:hAnsi="Calibri"/>
                <w:b w:val="0"/>
                <w:i w:val="0"/>
                <w:sz w:val="14"/>
              </w:rPr>
              <w:t>linkedin.com/in/mscott77/</w:t>
            </w:r>
          </w:p>
          <w:p>
            <w:pPr>
              <w:spacing w:before="0" w:after="80"/>
            </w:pPr>
            <w:r>
              <w:rPr>
                <w:rFonts w:ascii="Calibri" w:hAnsi="Calibri"/>
                <w:b/>
                <w:i w:val="0"/>
                <w:color w:val="C75480"/>
                <w:sz w:val="20"/>
              </w:rPr>
              <w:t>EDUCATION</w:t>
            </w:r>
          </w:p>
          <w:p>
            <w:pPr>
              <w:spacing w:before="0" w:after="20"/>
            </w:pPr>
            <w:r>
              <w:rPr>
                <w:rFonts w:ascii="Calibri" w:hAnsi="Calibri"/>
                <w:b/>
                <w:i w:val="0"/>
                <w:sz w:val="16"/>
              </w:rPr>
              <w:t>Bachelor of Science</w:t>
            </w:r>
          </w:p>
          <w:p>
            <w:pPr>
              <w:spacing w:before="0" w:after="20"/>
            </w:pPr>
            <w:r>
              <w:rPr>
                <w:rFonts w:ascii="Calibri" w:hAnsi="Calibri"/>
                <w:b w:val="0"/>
                <w:i w:val="0"/>
                <w:sz w:val="16"/>
              </w:rPr>
              <w:t>Communication</w:t>
            </w:r>
          </w:p>
          <w:p>
            <w:pPr>
              <w:spacing w:before="0" w:after="20"/>
            </w:pPr>
            <w:r>
              <w:rPr>
                <w:rFonts w:ascii="Calibri" w:hAnsi="Calibri"/>
                <w:b w:val="0"/>
                <w:i w:val="0"/>
                <w:sz w:val="16"/>
              </w:rPr>
              <w:t>University of Louisville</w:t>
            </w:r>
          </w:p>
          <w:p>
            <w:pPr>
              <w:spacing w:before="0" w:after="40"/>
            </w:pPr>
            <w:r>
              <w:rPr>
                <w:rFonts w:ascii="Calibri" w:hAnsi="Calibri"/>
                <w:b w:val="0"/>
                <w:i/>
                <w:sz w:val="16"/>
              </w:rPr>
              <w:t>Expected 2025</w:t>
            </w:r>
          </w:p>
          <w:p>
            <w:pPr>
              <w:spacing w:before="0" w:after="240"/>
            </w:pPr>
            <w:r>
              <w:rPr>
                <w:rFonts w:ascii="Calibri" w:hAnsi="Calibri"/>
                <w:b w:val="0"/>
                <w:i w:val="0"/>
                <w:sz w:val="14"/>
              </w:rPr>
              <w:t>Dean's List, Fall 2013</w:t>
            </w:r>
          </w:p>
          <w:p>
            <w:pPr>
              <w:spacing w:before="0" w:after="80"/>
            </w:pPr>
            <w:r>
              <w:rPr>
                <w:rFonts w:ascii="Calibri" w:hAnsi="Calibri"/>
                <w:b/>
                <w:i w:val="0"/>
                <w:color w:val="C75480"/>
                <w:sz w:val="20"/>
              </w:rPr>
              <w:t>CERTIFICATION</w:t>
            </w:r>
          </w:p>
          <w:p>
            <w:pPr>
              <w:spacing w:before="0" w:after="240"/>
            </w:pPr>
            <w:r>
              <w:rPr>
                <w:rFonts w:ascii="Calibri" w:hAnsi="Calibri"/>
                <w:b w:val="0"/>
                <w:i w:val="0"/>
                <w:sz w:val="16"/>
              </w:rPr>
              <w:t>Google Ads Certified</w:t>
            </w:r>
          </w:p>
          <w:p>
            <w:pPr>
              <w:spacing w:before="0" w:after="80"/>
            </w:pPr>
            <w:r>
              <w:rPr>
                <w:rFonts w:ascii="Calibri" w:hAnsi="Calibri"/>
                <w:b/>
                <w:i w:val="0"/>
                <w:color w:val="C75480"/>
                <w:sz w:val="20"/>
              </w:rPr>
              <w:t>CORE COMPETENCIES</w:t>
            </w:r>
          </w:p>
          <w:p>
            <w:pPr>
              <w:spacing w:before="0" w:after="40"/>
            </w:pPr>
            <w:r>
              <w:rPr>
                <w:rFonts w:ascii="Calibri" w:hAnsi="Calibri"/>
                <w:b/>
                <w:i w:val="0"/>
                <w:sz w:val="16"/>
              </w:rPr>
              <w:t>Healthcare &amp; Compliance</w:t>
            </w:r>
          </w:p>
          <w:p>
            <w:pPr>
              <w:spacing w:after="20"/>
            </w:pPr>
            <w:r>
              <w:rPr>
                <w:rFonts w:ascii="Calibri" w:hAnsi="Calibri"/>
                <w:sz w:val="14"/>
              </w:rPr>
              <w:t>• Medicare/CMS Regulations</w:t>
            </w:r>
          </w:p>
          <w:p>
            <w:pPr>
              <w:spacing w:after="20"/>
            </w:pPr>
            <w:r>
              <w:rPr>
                <w:rFonts w:ascii="Calibri" w:hAnsi="Calibri"/>
                <w:sz w:val="14"/>
              </w:rPr>
              <w:t>• Regulatory Compliance</w:t>
            </w:r>
          </w:p>
          <w:p>
            <w:pPr>
              <w:spacing w:after="20"/>
            </w:pPr>
            <w:r>
              <w:rPr>
                <w:rFonts w:ascii="Calibri" w:hAnsi="Calibri"/>
                <w:sz w:val="14"/>
              </w:rPr>
              <w:t>• Risk Assessment</w:t>
            </w:r>
          </w:p>
          <w:p>
            <w:pPr>
              <w:spacing w:after="20"/>
            </w:pPr>
            <w:r>
              <w:rPr>
                <w:rFonts w:ascii="Calibri" w:hAnsi="Calibri"/>
                <w:sz w:val="14"/>
              </w:rPr>
              <w:t>• Quality Assurance</w:t>
            </w:r>
          </w:p>
          <w:p>
            <w:pPr>
              <w:spacing w:after="20"/>
            </w:pPr>
            <w:r>
              <w:rPr>
                <w:rFonts w:ascii="Calibri" w:hAnsi="Calibri"/>
                <w:sz w:val="14"/>
              </w:rPr>
              <w:t>• ESP (Enterprise Solution Point)</w:t>
            </w:r>
          </w:p>
          <w:p>
            <w:pPr>
              <w:spacing w:after="20"/>
            </w:pPr>
            <w:r>
              <w:rPr>
                <w:rFonts w:ascii="Calibri" w:hAnsi="Calibri"/>
                <w:sz w:val="14"/>
              </w:rPr>
              <w:t>• EIP (Enterprise Integration Platform)</w:t>
            </w:r>
          </w:p>
          <w:p>
            <w:pPr>
              <w:spacing w:after="20"/>
            </w:pPr>
            <w:r>
              <w:rPr>
                <w:rFonts w:ascii="Calibri" w:hAnsi="Calibri"/>
                <w:sz w:val="14"/>
              </w:rPr>
              <w:t>• ETDM (Enterprise Test Data Management)</w:t>
            </w:r>
          </w:p>
          <w:p>
            <w:pPr>
              <w:spacing w:after="20"/>
            </w:pPr>
            <w:r>
              <w:rPr>
                <w:rFonts w:ascii="Calibri" w:hAnsi="Calibri"/>
                <w:sz w:val="14"/>
              </w:rPr>
              <w:t>• Healthcare Domain Expertise</w:t>
            </w:r>
          </w:p>
          <w:p>
            <w:pPr>
              <w:spacing w:before="80" w:after="40"/>
            </w:pPr>
            <w:r>
              <w:rPr>
                <w:rFonts w:ascii="Calibri" w:hAnsi="Calibri"/>
                <w:b/>
                <w:i w:val="0"/>
                <w:sz w:val="16"/>
              </w:rPr>
              <w:t>Data &amp; Analytics</w:t>
            </w:r>
          </w:p>
          <w:p>
            <w:pPr>
              <w:spacing w:after="20"/>
            </w:pPr>
            <w:r>
              <w:rPr>
                <w:rFonts w:ascii="Calibri" w:hAnsi="Calibri"/>
                <w:sz w:val="14"/>
              </w:rPr>
              <w:t>• SQL (MS SQL Server, MySQL)</w:t>
            </w:r>
          </w:p>
          <w:p>
            <w:pPr>
              <w:spacing w:after="20"/>
            </w:pPr>
            <w:r>
              <w:rPr>
                <w:rFonts w:ascii="Calibri" w:hAnsi="Calibri"/>
                <w:sz w:val="14"/>
              </w:rPr>
              <w:t>• API Testing &amp; Validation</w:t>
            </w:r>
          </w:p>
          <w:p>
            <w:pPr>
              <w:spacing w:after="20"/>
            </w:pPr>
            <w:r>
              <w:rPr>
                <w:rFonts w:ascii="Calibri" w:hAnsi="Calibri"/>
                <w:sz w:val="14"/>
              </w:rPr>
              <w:t>• Analytics-Based Testing</w:t>
            </w:r>
          </w:p>
          <w:p>
            <w:pPr>
              <w:spacing w:after="20"/>
            </w:pPr>
            <w:r>
              <w:rPr>
                <w:rFonts w:ascii="Calibri" w:hAnsi="Calibri"/>
                <w:sz w:val="14"/>
              </w:rPr>
              <w:t>• A/B Testing &amp; Optimization</w:t>
            </w:r>
          </w:p>
          <w:p>
            <w:pPr>
              <w:spacing w:after="20"/>
            </w:pPr>
            <w:r>
              <w:rPr>
                <w:rFonts w:ascii="Calibri" w:hAnsi="Calibri"/>
                <w:sz w:val="14"/>
              </w:rPr>
              <w:t>• Data Validation</w:t>
            </w:r>
          </w:p>
          <w:p>
            <w:pPr>
              <w:spacing w:after="20"/>
            </w:pPr>
            <w:r>
              <w:rPr>
                <w:rFonts w:ascii="Calibri" w:hAnsi="Calibri"/>
                <w:sz w:val="14"/>
              </w:rPr>
              <w:t>• Trend Analysis</w:t>
            </w:r>
          </w:p>
          <w:p>
            <w:pPr>
              <w:spacing w:after="20"/>
            </w:pPr>
            <w:r>
              <w:rPr>
                <w:rFonts w:ascii="Calibri" w:hAnsi="Calibri"/>
                <w:sz w:val="14"/>
              </w:rPr>
              <w:t>• Performance Metrics</w:t>
            </w:r>
          </w:p>
          <w:p>
            <w:pPr>
              <w:spacing w:before="80" w:after="40"/>
            </w:pPr>
            <w:r>
              <w:rPr>
                <w:rFonts w:ascii="Calibri" w:hAnsi="Calibri"/>
                <w:b/>
                <w:i w:val="0"/>
                <w:sz w:val="16"/>
              </w:rPr>
              <w:t>Leadership &amp; PM</w:t>
            </w:r>
          </w:p>
          <w:p>
            <w:pPr>
              <w:spacing w:after="20"/>
            </w:pPr>
            <w:r>
              <w:rPr>
                <w:rFonts w:ascii="Calibri" w:hAnsi="Calibri"/>
                <w:sz w:val="14"/>
              </w:rPr>
              <w:t>• Stakeholder Engagement</w:t>
            </w:r>
          </w:p>
          <w:p>
            <w:pPr>
              <w:spacing w:after="20"/>
            </w:pPr>
            <w:r>
              <w:rPr>
                <w:rFonts w:ascii="Calibri" w:hAnsi="Calibri"/>
                <w:sz w:val="14"/>
              </w:rPr>
              <w:t>• Cross-Functional Leadership</w:t>
            </w:r>
          </w:p>
          <w:p>
            <w:pPr>
              <w:spacing w:after="20"/>
            </w:pPr>
            <w:r>
              <w:rPr>
                <w:rFonts w:ascii="Calibri" w:hAnsi="Calibri"/>
                <w:sz w:val="14"/>
              </w:rPr>
              <w:t>• Agile/SDLC</w:t>
            </w:r>
          </w:p>
          <w:p>
            <w:pPr>
              <w:spacing w:after="20"/>
            </w:pPr>
            <w:r>
              <w:rPr>
                <w:rFonts w:ascii="Calibri" w:hAnsi="Calibri"/>
                <w:sz w:val="14"/>
              </w:rPr>
              <w:t>• Sprint Planning</w:t>
            </w:r>
          </w:p>
          <w:p>
            <w:pPr>
              <w:spacing w:after="20"/>
            </w:pPr>
            <w:r>
              <w:rPr>
                <w:rFonts w:ascii="Calibri" w:hAnsi="Calibri"/>
                <w:sz w:val="14"/>
              </w:rPr>
              <w:t>• User Stories &amp; UAT (User Acceptance Testing)</w:t>
            </w:r>
          </w:p>
          <w:p>
            <w:pPr>
              <w:spacing w:after="20"/>
            </w:pPr>
            <w:r>
              <w:rPr>
                <w:rFonts w:ascii="Calibri" w:hAnsi="Calibri"/>
                <w:sz w:val="14"/>
              </w:rPr>
              <w:t>• Executive Reporting</w:t>
            </w:r>
          </w:p>
          <w:p>
            <w:pPr>
              <w:spacing w:after="20"/>
            </w:pPr>
            <w:r>
              <w:rPr>
                <w:rFonts w:ascii="Calibri" w:hAnsi="Calibri"/>
                <w:sz w:val="14"/>
              </w:rPr>
              <w:t>• Vendor Management</w:t>
            </w:r>
          </w:p>
          <w:p>
            <w:pPr>
              <w:spacing w:after="20"/>
            </w:pPr>
            <w:r>
              <w:rPr>
                <w:rFonts w:ascii="Calibri" w:hAnsi="Calibri"/>
                <w:sz w:val="14"/>
              </w:rPr>
              <w:t>• Team Mentoring</w:t>
            </w:r>
          </w:p>
          <w:p>
            <w:pPr>
              <w:spacing w:before="80" w:after="40"/>
            </w:pPr>
            <w:r>
              <w:rPr>
                <w:rFonts w:ascii="Calibri" w:hAnsi="Calibri"/>
                <w:b/>
                <w:i w:val="0"/>
                <w:sz w:val="16"/>
              </w:rPr>
              <w:t>Technical Tools</w:t>
            </w:r>
          </w:p>
          <w:p>
            <w:pPr>
              <w:spacing w:after="20"/>
            </w:pPr>
            <w:r>
              <w:rPr>
                <w:rFonts w:ascii="Calibri" w:hAnsi="Calibri"/>
                <w:sz w:val="14"/>
              </w:rPr>
              <w:t>• JIRA</w:t>
            </w:r>
          </w:p>
          <w:p>
            <w:pPr>
              <w:spacing w:after="20"/>
            </w:pPr>
            <w:r>
              <w:rPr>
                <w:rFonts w:ascii="Calibri" w:hAnsi="Calibri"/>
                <w:sz w:val="14"/>
              </w:rPr>
              <w:t>• SharePoint</w:t>
            </w:r>
          </w:p>
          <w:p>
            <w:pPr>
              <w:spacing w:after="20"/>
            </w:pPr>
            <w:r>
              <w:rPr>
                <w:rFonts w:ascii="Calibri" w:hAnsi="Calibri"/>
                <w:sz w:val="14"/>
              </w:rPr>
              <w:t>• MS Teams</w:t>
            </w:r>
          </w:p>
          <w:p>
            <w:pPr>
              <w:spacing w:after="20"/>
            </w:pPr>
            <w:r>
              <w:rPr>
                <w:rFonts w:ascii="Calibri" w:hAnsi="Calibri"/>
                <w:sz w:val="14"/>
              </w:rPr>
              <w:t>• Slack</w:t>
            </w:r>
          </w:p>
          <w:p>
            <w:pPr>
              <w:spacing w:after="20"/>
            </w:pPr>
            <w:r>
              <w:rPr>
                <w:rFonts w:ascii="Calibri" w:hAnsi="Calibri"/>
                <w:sz w:val="14"/>
              </w:rPr>
              <w:t>• Oracle</w:t>
            </w:r>
          </w:p>
          <w:p>
            <w:pPr>
              <w:spacing w:after="20"/>
            </w:pPr>
            <w:r>
              <w:rPr>
                <w:rFonts w:ascii="Calibri" w:hAnsi="Calibri"/>
                <w:sz w:val="14"/>
              </w:rPr>
              <w:t>• Braze</w:t>
            </w:r>
          </w:p>
          <w:p>
            <w:pPr>
              <w:spacing w:after="20"/>
            </w:pPr>
            <w:r>
              <w:rPr>
                <w:rFonts w:ascii="Calibri" w:hAnsi="Calibri"/>
                <w:sz w:val="14"/>
              </w:rPr>
              <w:t>• Firebase</w:t>
            </w:r>
          </w:p>
          <w:p>
            <w:pPr>
              <w:spacing w:after="20"/>
            </w:pPr>
            <w:r>
              <w:rPr>
                <w:rFonts w:ascii="Calibri" w:hAnsi="Calibri"/>
                <w:sz w:val="14"/>
              </w:rPr>
              <w:t>• Splunk</w:t>
            </w:r>
          </w:p>
          <w:p>
            <w:pPr>
              <w:spacing w:after="20"/>
            </w:pPr>
            <w:r>
              <w:rPr>
                <w:rFonts w:ascii="Calibri" w:hAnsi="Calibri"/>
                <w:sz w:val="14"/>
              </w:rPr>
              <w:t>• Applitools</w:t>
            </w:r>
          </w:p>
          <w:p>
            <w:pPr>
              <w:spacing w:after="20"/>
            </w:pPr>
            <w:r>
              <w:rPr>
                <w:rFonts w:ascii="Calibri" w:hAnsi="Calibri"/>
                <w:sz w:val="14"/>
              </w:rPr>
              <w:t>• Beyond Compare</w:t>
            </w:r>
          </w:p>
          <w:p>
            <w:pPr>
              <w:spacing w:after="20"/>
            </w:pPr>
            <w:r>
              <w:rPr>
                <w:rFonts w:ascii="Calibri" w:hAnsi="Calibri"/>
                <w:sz w:val="14"/>
              </w:rPr>
              <w:t>• WordPress</w:t>
            </w:r>
          </w:p>
          <w:p>
            <w:pPr>
              <w:spacing w:after="20"/>
            </w:pPr>
            <w:r>
              <w:rPr>
                <w:rFonts w:ascii="Calibri" w:hAnsi="Calibri"/>
                <w:sz w:val="14"/>
              </w:rPr>
              <w:t>• Power Apps</w:t>
            </w:r>
          </w:p>
          <w:p>
            <w:pPr>
              <w:spacing w:after="20"/>
            </w:pPr>
            <w:r>
              <w:rPr>
                <w:rFonts w:ascii="Calibri" w:hAnsi="Calibri"/>
                <w:sz w:val="14"/>
              </w:rPr>
              <w:t>• Power Automate</w:t>
            </w:r>
          </w:p>
        </w:tc>
        <w:tc>
          <w:tcPr>
            <w:tcW w:type="dxa" w:w="6480"/>
            <w:tcBorders>
              <w:top w:val="none"/>
              <w:left w:val="none"/>
              <w:bottom w:val="none"/>
              <w:right w:val="none"/>
            </w:tcBorders>
          </w:tcPr>
          <w:p>
            <w:r/>
          </w:p>
          <w:p>
            <w:pPr>
              <w:spacing w:before="0" w:after="80"/>
            </w:pPr>
            <w:r>
              <w:rPr>
                <w:rFonts w:ascii="Calibri" w:hAnsi="Calibri"/>
                <w:b/>
                <w:i w:val="0"/>
                <w:color w:val="C75480"/>
                <w:sz w:val="22"/>
              </w:rPr>
              <w:t>PROFESSIONAL SUMMARY</w:t>
            </w:r>
          </w:p>
          <w:p>
            <w:pPr>
              <w:spacing w:before="0" w:after="160"/>
            </w:pPr>
            <w:r>
              <w:rPr>
                <w:rFonts w:ascii="Calibri" w:hAnsi="Calibri"/>
                <w:b w:val="0"/>
                <w:i w:val="0"/>
                <w:sz w:val="18"/>
              </w:rPr>
              <w:t>Strategic business analyst with 15+ years driving data-informed decision making across healthcare compliance, quality evaluation, and stakeholder leadership. Proven expertise in Medicare/CMS regulatory compliance, SQL-based data validation, analytics-driven testing, and cross-functional project management at Fortune 50 scale.</w:t>
            </w:r>
          </w:p>
          <w:p>
            <w:pPr>
              <w:spacing w:before="0" w:after="80"/>
            </w:pPr>
            <w:r>
              <w:rPr>
                <w:rFonts w:ascii="Calibri" w:hAnsi="Calibri"/>
                <w:b/>
                <w:i w:val="0"/>
                <w:color w:val="C75480"/>
                <w:sz w:val="22"/>
              </w:rPr>
              <w:t>PROFESSIONAL EXPERIENCE</w:t>
            </w:r>
          </w:p>
          <w:p>
            <w:pPr>
              <w:spacing w:before="0" w:after="20"/>
            </w:pPr>
            <w:r>
              <w:rPr>
                <w:rFonts w:ascii="Calibri" w:hAnsi="Calibri"/>
                <w:b/>
                <w:i w:val="0"/>
                <w:sz w:val="18"/>
              </w:rPr>
              <w:t>SENIOR RISK MANAGEMENT PROFESSIONAL II, BUSINESS ANALYST</w:t>
            </w:r>
          </w:p>
          <w:p>
            <w:pPr>
              <w:spacing w:before="0" w:after="20"/>
            </w:pPr>
            <w:r>
              <w:rPr>
                <w:rFonts w:ascii="Calibri" w:hAnsi="Calibri"/>
                <w:b w:val="0"/>
                <w:i/>
                <w:sz w:val="16"/>
              </w:rPr>
              <w:t>HUMANA, INC., Louisville, KY (Hybrid/Remote)</w:t>
            </w:r>
          </w:p>
          <w:p>
            <w:pPr>
              <w:spacing w:before="0" w:after="60"/>
            </w:pPr>
            <w:r>
              <w:rPr>
                <w:rFonts w:ascii="Calibri" w:hAnsi="Calibri"/>
                <w:b w:val="0"/>
                <w:i/>
                <w:color w:val="808080"/>
                <w:sz w:val="16"/>
              </w:rPr>
              <w:t>November 2022 – August 2025</w:t>
            </w:r>
          </w:p>
          <w:p>
            <w:pPr>
              <w:spacing w:before="0" w:after="60"/>
            </w:pPr>
            <w:r>
              <w:rPr>
                <w:rFonts w:ascii="Calibri" w:hAnsi="Calibri"/>
                <w:b w:val="0"/>
                <w:i w:val="0"/>
                <w:sz w:val="16"/>
              </w:rPr>
              <w:t>Medicare Compliance &amp; Quality Assurance Business Analyst leading regulatory compliance, data validation, and stakeholder coordination for Humana's Medicare platform serving millions of consumers. Subject matter expert (SME) for CMS regulations with responsibility for cross-functional project leadership, SQL-based data analysis, and executive reporting.</w:t>
            </w:r>
          </w:p>
          <w:p>
            <w:pPr>
              <w:spacing w:before="0" w:after="40"/>
            </w:pPr>
            <w:r>
              <w:rPr>
                <w:rFonts w:ascii="Calibri" w:hAnsi="Calibri"/>
                <w:b/>
                <w:i/>
                <w:sz w:val="16"/>
              </w:rPr>
              <w:t>Career Progression:</w:t>
            </w:r>
          </w:p>
          <w:p>
            <w:pPr>
              <w:spacing w:after="20"/>
            </w:pPr>
            <w:r>
              <w:rPr>
                <w:rFonts w:ascii="Calibri" w:hAnsi="Calibri"/>
                <w:sz w:val="14"/>
              </w:rPr>
              <w:t>• Senior Risk Management Professional, May 2021 – Oct 2022</w:t>
            </w:r>
          </w:p>
          <w:p>
            <w:pPr>
              <w:spacing w:after="20"/>
            </w:pPr>
            <w:r>
              <w:rPr>
                <w:rFonts w:ascii="Calibri" w:hAnsi="Calibri"/>
                <w:sz w:val="14"/>
              </w:rPr>
              <w:t>• Risk Management Professional 2, Sep 2017 – Apr 2021</w:t>
            </w:r>
          </w:p>
          <w:p>
            <w:pPr>
              <w:spacing w:after="20"/>
            </w:pPr>
            <w:r>
              <w:rPr>
                <w:rFonts w:ascii="Calibri" w:hAnsi="Calibri"/>
                <w:sz w:val="14"/>
              </w:rPr>
              <w:t>• Risk Management Analyst, Jan 2016 – Aug 2017</w:t>
            </w:r>
          </w:p>
          <w:p>
            <w:pPr>
              <w:spacing w:before="60" w:after="40"/>
            </w:pPr>
            <w:r>
              <w:rPr>
                <w:rFonts w:ascii="Calibri" w:hAnsi="Calibri"/>
                <w:b/>
                <w:i/>
                <w:sz w:val="16"/>
              </w:rPr>
              <w:t>Key Achievements:</w:t>
            </w:r>
          </w:p>
          <w:p>
            <w:pPr>
              <w:spacing w:after="20"/>
            </w:pPr>
            <w:r>
              <w:rPr>
                <w:rFonts w:ascii="Calibri" w:hAnsi="Calibri"/>
                <w:sz w:val="14"/>
              </w:rPr>
              <w:t>• Led e-Commerce Acceleration and Data Modernization projects with ZERO critical or high defects through comprehensive testing and stakeholder coordination</w:t>
            </w:r>
          </w:p>
          <w:p>
            <w:pPr>
              <w:spacing w:after="20"/>
            </w:pPr>
            <w:r>
              <w:rPr>
                <w:rFonts w:ascii="Calibri" w:hAnsi="Calibri"/>
                <w:sz w:val="14"/>
              </w:rPr>
              <w:t>• Orchestrated Annual Enrollment Period (AEP) web marketing preparation and execution—organization's highest-revenue period—ensuring seamless launch and CMS compliance</w:t>
            </w:r>
          </w:p>
          <w:p>
            <w:pPr>
              <w:spacing w:after="20"/>
            </w:pPr>
            <w:r>
              <w:rPr>
                <w:rFonts w:ascii="Calibri" w:hAnsi="Calibri"/>
                <w:sz w:val="14"/>
              </w:rPr>
              <w:t>• Achieved 100% on-time delivery for 100+ time-sensitive Medicare Member Annual Communications (MAC) PDFs for 3 consecutive years as DRI</w:t>
            </w:r>
          </w:p>
          <w:p>
            <w:pPr>
              <w:spacing w:after="20"/>
            </w:pPr>
            <w:r>
              <w:rPr>
                <w:rFonts w:ascii="Calibri" w:hAnsi="Calibri"/>
                <w:sz w:val="14"/>
              </w:rPr>
              <w:t>• Reviewed 400+ page CMS Final Rule guidance annually to identify potential risk areas and strategic implications, translating regulatory requirements into actionable business strategies</w:t>
            </w:r>
          </w:p>
          <w:p>
            <w:pPr>
              <w:spacing w:after="20"/>
            </w:pPr>
            <w:r>
              <w:rPr>
                <w:rFonts w:ascii="Calibri" w:hAnsi="Calibri"/>
                <w:sz w:val="14"/>
              </w:rPr>
              <w:t>• Delivered executive-level monthly scorecards to senior leadership detailing team performance, trend analysis, and compliance metrics, driving data-informed strategic decisions</w:t>
            </w:r>
          </w:p>
          <w:p>
            <w:pPr>
              <w:spacing w:after="20"/>
            </w:pPr>
            <w:r>
              <w:rPr>
                <w:rFonts w:ascii="Calibri" w:hAnsi="Calibri"/>
                <w:sz w:val="14"/>
              </w:rPr>
              <w:t>• Developed analytics-based testing methodology targeting highest-impact customer segments, creating test experiments that continually refined quality processes</w:t>
            </w:r>
          </w:p>
          <w:p>
            <w:pPr>
              <w:spacing w:after="20"/>
            </w:pPr>
            <w:r>
              <w:rPr>
                <w:rFonts w:ascii="Calibri" w:hAnsi="Calibri"/>
                <w:sz w:val="14"/>
              </w:rPr>
              <w:t>• Built and maintained trusted relationships across IT, Legal, Regulatory &amp; Compliance, and business units at enterprise scale, coordinating cross-functional engagements and managing third-party audit processes</w:t>
            </w:r>
          </w:p>
          <w:p>
            <w:pPr>
              <w:spacing w:before="120" w:after="20"/>
            </w:pPr>
            <w:r>
              <w:rPr>
                <w:rFonts w:ascii="Calibri" w:hAnsi="Calibri"/>
                <w:b/>
                <w:i w:val="0"/>
                <w:sz w:val="18"/>
              </w:rPr>
              <w:t>ACCOUNT EXECUTIVE</w:t>
            </w:r>
          </w:p>
          <w:p>
            <w:pPr>
              <w:spacing w:before="0" w:after="20"/>
            </w:pPr>
            <w:r>
              <w:rPr>
                <w:rFonts w:ascii="Calibri" w:hAnsi="Calibri"/>
                <w:b w:val="0"/>
                <w:i/>
                <w:sz w:val="16"/>
              </w:rPr>
              <w:t>MIGHTILY, Louisville, KY</w:t>
            </w:r>
          </w:p>
          <w:p>
            <w:pPr>
              <w:spacing w:before="0" w:after="60"/>
            </w:pPr>
            <w:r>
              <w:rPr>
                <w:rFonts w:ascii="Calibri" w:hAnsi="Calibri"/>
                <w:b w:val="0"/>
                <w:i/>
                <w:color w:val="808080"/>
                <w:sz w:val="16"/>
              </w:rPr>
              <w:t>July 2015 – December 2016</w:t>
            </w:r>
          </w:p>
          <w:p>
            <w:pPr>
              <w:spacing w:before="0" w:after="60"/>
            </w:pPr>
            <w:r>
              <w:rPr>
                <w:rFonts w:ascii="Calibri" w:hAnsi="Calibri"/>
                <w:b w:val="0"/>
                <w:i w:val="0"/>
                <w:sz w:val="16"/>
              </w:rPr>
              <w:t>Client Relationship Manager and Strategic Account Lead managing 10+ digital marketing retainer accounts representing $40k in monthly recurring revenue. Served as intermediary between client project needs and internal technical teams across diverse industries, leading project delivery and revenue growth initiatives. Promoted from Rich Content Developer (2012-2015).</w:t>
            </w:r>
          </w:p>
          <w:p>
            <w:pPr>
              <w:spacing w:before="0" w:after="40"/>
            </w:pPr>
            <w:r>
              <w:rPr>
                <w:rFonts w:ascii="Calibri" w:hAnsi="Calibri"/>
                <w:b/>
                <w:i/>
                <w:sz w:val="16"/>
              </w:rPr>
              <w:t>Key Achievements:</w:t>
            </w:r>
          </w:p>
          <w:p>
            <w:pPr>
              <w:spacing w:after="20"/>
            </w:pPr>
            <w:r>
              <w:rPr>
                <w:rFonts w:ascii="Calibri" w:hAnsi="Calibri"/>
                <w:sz w:val="14"/>
              </w:rPr>
              <w:t>• Managed 10+ digital marketing retainer accounts accounting for $40k in monthly revenue with metric-based reporting and strategic recommendations</w:t>
            </w:r>
          </w:p>
          <w:p>
            <w:pPr>
              <w:spacing w:after="20"/>
            </w:pPr>
            <w:r>
              <w:rPr>
                <w:rFonts w:ascii="Calibri" w:hAnsi="Calibri"/>
                <w:sz w:val="14"/>
              </w:rPr>
              <w:t>• Secured $50k website deal through consultative selling and managed primary account executive responsibilities for contracts ranging from $500k to $3M</w:t>
            </w:r>
          </w:p>
          <w:p>
            <w:pPr>
              <w:spacing w:after="20"/>
            </w:pPr>
            <w:r>
              <w:rPr>
                <w:rFonts w:ascii="Calibri" w:hAnsi="Calibri"/>
                <w:sz w:val="14"/>
              </w:rPr>
              <w:t>• Created 60 Google Map location pins for Trilogy Health Services, significantly improving web presence and local market reach</w:t>
            </w:r>
          </w:p>
          <w:p>
            <w:pPr>
              <w:spacing w:after="20"/>
            </w:pPr>
            <w:r>
              <w:rPr>
                <w:rFonts w:ascii="Calibri" w:hAnsi="Calibri"/>
                <w:sz w:val="14"/>
              </w:rPr>
              <w:t>• Launched Google AdWords display campaigns using A/B testing to maximize ad spend efficiency and ROI</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