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A5F2" w14:textId="77777777" w:rsidR="001B686F" w:rsidRDefault="001B686F" w:rsidP="001B686F">
      <w:pPr>
        <w:spacing w:after="0"/>
        <w:rPr>
          <w:lang w:val="es-EC"/>
        </w:rPr>
      </w:pPr>
      <w:r w:rsidRPr="001B686F">
        <w:rPr>
          <w:lang w:val="es-EC"/>
        </w:rPr>
        <w:t>Cómo construir un párrafo resumen para Nature</w:t>
      </w:r>
      <w:r w:rsidRPr="001B686F">
        <w:rPr>
          <w:lang w:val="es-EC"/>
        </w:rPr>
        <w:br/>
        <w:t>Guía para autores de Nature (septiembre de 2019)</w:t>
      </w:r>
      <w:r w:rsidRPr="001B686F">
        <w:rPr>
          <w:lang w:val="es-EC"/>
        </w:rPr>
        <w:br/>
        <w:t>Ejemplo anotado tomado de Nature 435, 114–118 (5 de mayo de 2005).</w:t>
      </w:r>
    </w:p>
    <w:p w14:paraId="54DD05A4" w14:textId="31774988" w:rsidR="001B686F" w:rsidRDefault="001B686F" w:rsidP="001B686F">
      <w:pPr>
        <w:spacing w:after="0"/>
        <w:rPr>
          <w:lang w:val="es-EC"/>
        </w:rPr>
      </w:pPr>
      <w:r w:rsidRPr="001B686F">
        <w:rPr>
          <w:lang w:val="es-EC"/>
        </w:rPr>
        <w:t>https://www.nature.com/documents/nature-summary-paragraph.pdf</w:t>
      </w:r>
      <w:r w:rsidRPr="001B686F">
        <w:rPr>
          <w:lang w:val="es-EC"/>
        </w:rPr>
        <w:br/>
      </w:r>
    </w:p>
    <w:p w14:paraId="6809945C" w14:textId="173D759C" w:rsidR="00806F50" w:rsidRPr="00806F50" w:rsidRDefault="00806F50" w:rsidP="00806F50">
      <w:pPr>
        <w:spacing w:after="0"/>
        <w:jc w:val="both"/>
        <w:rPr>
          <w:b/>
          <w:bCs/>
          <w:lang w:val="es-EC"/>
        </w:rPr>
      </w:pPr>
      <w:r w:rsidRPr="00806F50">
        <w:rPr>
          <w:b/>
          <w:bCs/>
          <w:lang w:val="es-EC"/>
        </w:rPr>
        <w:t xml:space="preserve">Ejemplo de Párrafo: </w:t>
      </w:r>
    </w:p>
    <w:p w14:paraId="3E8AC4AA" w14:textId="77777777" w:rsidR="00806F50" w:rsidRDefault="00806F50" w:rsidP="00806F50">
      <w:pPr>
        <w:spacing w:after="0"/>
        <w:jc w:val="both"/>
        <w:rPr>
          <w:lang w:val="es-EC"/>
        </w:rPr>
      </w:pPr>
    </w:p>
    <w:p w14:paraId="2C37277A" w14:textId="46CAAADC" w:rsidR="001B686F" w:rsidRPr="001B686F" w:rsidRDefault="001B686F" w:rsidP="00806F50">
      <w:pPr>
        <w:spacing w:after="0"/>
        <w:jc w:val="both"/>
        <w:rPr>
          <w:lang w:val="es-EC"/>
        </w:rPr>
      </w:pPr>
      <w:r w:rsidRPr="001B686F">
        <w:rPr>
          <w:lang w:val="es-EC"/>
        </w:rPr>
        <w:t>Durante la división celular, los usos mitóticos se ensamblan mediante proteínas motoras</w:t>
      </w:r>
    </w:p>
    <w:p w14:paraId="195C540A" w14:textId="5C1ED933" w:rsidR="001B686F" w:rsidRPr="001B686F" w:rsidRDefault="001B686F" w:rsidP="00806F50">
      <w:pPr>
        <w:spacing w:after="0"/>
        <w:jc w:val="both"/>
        <w:rPr>
          <w:lang w:val="es-EC"/>
        </w:rPr>
      </w:pPr>
      <w:r w:rsidRPr="001B686F">
        <w:rPr>
          <w:lang w:val="es-EC"/>
        </w:rPr>
        <w:t>basadas en microtúbulos</w:t>
      </w:r>
      <w:r w:rsidRPr="00806F50">
        <w:rPr>
          <w:vertAlign w:val="superscript"/>
          <w:lang w:val="es-EC"/>
        </w:rPr>
        <w:t>1,2</w:t>
      </w:r>
      <w:r w:rsidRPr="001B686F">
        <w:rPr>
          <w:lang w:val="es-EC"/>
        </w:rPr>
        <w:t>.</w:t>
      </w:r>
      <w:r w:rsidR="00806F50">
        <w:rPr>
          <w:lang w:val="es-EC"/>
        </w:rPr>
        <w:t xml:space="preserve"> </w:t>
      </w:r>
      <w:r w:rsidRPr="001B686F">
        <w:rPr>
          <w:lang w:val="es-EC"/>
        </w:rPr>
        <w:t xml:space="preserve">La organización bipolar de los usos es esencial para la correcta segregación de los cromosomas y requiere proteínas motoras </w:t>
      </w:r>
      <w:proofErr w:type="spellStart"/>
      <w:r w:rsidRPr="001B686F">
        <w:rPr>
          <w:lang w:val="es-EC"/>
        </w:rPr>
        <w:t>homotetraméricas</w:t>
      </w:r>
      <w:proofErr w:type="spellEnd"/>
      <w:r w:rsidRPr="001B686F">
        <w:rPr>
          <w:lang w:val="es-EC"/>
        </w:rPr>
        <w:t xml:space="preserve"> dirigidas hacia el extremo positivo de la familia</w:t>
      </w:r>
      <w:r w:rsidR="00806F50" w:rsidRPr="00806F50">
        <w:rPr>
          <w:vertAlign w:val="superscript"/>
          <w:lang w:val="es-EC"/>
        </w:rPr>
        <w:t>3</w:t>
      </w:r>
      <w:r w:rsidRPr="001B686F">
        <w:rPr>
          <w:lang w:val="es-EC"/>
        </w:rPr>
        <w:t xml:space="preserve"> ampliamente conservada kinesina-5 (</w:t>
      </w:r>
      <w:proofErr w:type="spellStart"/>
      <w:r w:rsidRPr="001B686F">
        <w:rPr>
          <w:lang w:val="es-EC"/>
        </w:rPr>
        <w:t>BimC</w:t>
      </w:r>
      <w:proofErr w:type="spellEnd"/>
      <w:r w:rsidRPr="001B686F">
        <w:rPr>
          <w:lang w:val="es-EC"/>
        </w:rPr>
        <w:t>). Las hipótesis sobre la formación del huso bipolar incluyen el modelo de “músculo mitótico de empuje–tracción”, en el que la kinesina-5 y proteínas motoras opuestas actúan entre microtúbulos superpuestos</w:t>
      </w:r>
      <w:r w:rsidRPr="00806F50">
        <w:rPr>
          <w:vertAlign w:val="superscript"/>
          <w:lang w:val="es-EC"/>
        </w:rPr>
        <w:t>2,4,5</w:t>
      </w:r>
      <w:r w:rsidRPr="001B686F">
        <w:rPr>
          <w:lang w:val="es-EC"/>
        </w:rPr>
        <w:t>.</w:t>
      </w:r>
    </w:p>
    <w:p w14:paraId="4BEB6C38" w14:textId="20AA7802" w:rsidR="001B686F" w:rsidRPr="001B686F" w:rsidRDefault="001B686F" w:rsidP="00806F50">
      <w:pPr>
        <w:spacing w:after="0"/>
        <w:jc w:val="both"/>
        <w:rPr>
          <w:lang w:val="es-EC"/>
        </w:rPr>
      </w:pPr>
      <w:r w:rsidRPr="001B686F">
        <w:rPr>
          <w:lang w:val="es-EC"/>
        </w:rPr>
        <w:t>Sin embargo, los roles precisos de la kinesina-5 durante este proceso son desconocidos.</w:t>
      </w:r>
      <w:r w:rsidR="00806F50">
        <w:rPr>
          <w:lang w:val="es-EC"/>
        </w:rPr>
        <w:t xml:space="preserve"> </w:t>
      </w:r>
      <w:r w:rsidRPr="001B686F">
        <w:rPr>
          <w:lang w:val="es-EC"/>
        </w:rPr>
        <w:t>Aquí mostramos que la kinesina-5 vertebrada Eg5 impulsa el deslizamiento de los microtúbulos dependiendo de su orientación relativa.</w:t>
      </w:r>
    </w:p>
    <w:p w14:paraId="7E71B6FB" w14:textId="6C2B74D1" w:rsidR="001B686F" w:rsidRDefault="001B686F" w:rsidP="00806F50">
      <w:pPr>
        <w:spacing w:after="0"/>
        <w:jc w:val="both"/>
        <w:rPr>
          <w:lang w:val="es-EC"/>
        </w:rPr>
      </w:pPr>
      <w:r w:rsidRPr="001B686F">
        <w:rPr>
          <w:lang w:val="es-EC"/>
        </w:rPr>
        <w:t xml:space="preserve">Encontramos en ensayos in vitro controlados que Eg5 tiene la notable capacidad de moverse simultáneamente a aproximadamente </w:t>
      </w:r>
      <m:oMath>
        <m:r>
          <w:rPr>
            <w:rFonts w:ascii="Cambria Math" w:hAnsi="Cambria Math"/>
            <w:lang w:val="es-EC"/>
          </w:rPr>
          <m:t xml:space="preserve">~20 nm </m:t>
        </m:r>
        <m:sSup>
          <m:sSupPr>
            <m:ctrlPr>
              <w:rPr>
                <w:rFonts w:ascii="Cambria Math" w:hAnsi="Cambria Math"/>
                <w:i/>
                <w:lang w:val="es-EC"/>
              </w:rPr>
            </m:ctrlPr>
          </m:sSupPr>
          <m:e>
            <m:r>
              <w:rPr>
                <w:rFonts w:ascii="Cambria Math" w:hAnsi="Cambria Math"/>
                <w:lang w:val="es-EC"/>
              </w:rPr>
              <m:t>s</m:t>
            </m:r>
          </m:e>
          <m:sup>
            <m:r>
              <w:rPr>
                <w:rFonts w:ascii="Cambria Math" w:hAnsi="Cambria Math"/>
                <w:lang w:val="es-EC"/>
              </w:rPr>
              <m:t>-1</m:t>
            </m:r>
          </m:sup>
        </m:sSup>
      </m:oMath>
      <w:r w:rsidRPr="001B686F">
        <w:rPr>
          <w:lang w:val="es-EC"/>
        </w:rPr>
        <w:t xml:space="preserve"> hacia los extremos positivos de cada uno de los dos microtúbulos que entrecruza. Para microtúbulos antiparalelos, esto resulta en un deslizamiento relativo de aproximadamente </w:t>
      </w:r>
      <m:oMath>
        <m:r>
          <w:rPr>
            <w:rFonts w:ascii="Cambria Math" w:hAnsi="Cambria Math"/>
            <w:lang w:val="es-EC"/>
          </w:rPr>
          <m:t xml:space="preserve">~40 nm </m:t>
        </m:r>
        <m:sSup>
          <m:sSupPr>
            <m:ctrlPr>
              <w:rPr>
                <w:rFonts w:ascii="Cambria Math" w:hAnsi="Cambria Math"/>
                <w:i/>
                <w:lang w:val="es-EC"/>
              </w:rPr>
            </m:ctrlPr>
          </m:sSupPr>
          <m:e>
            <m:r>
              <w:rPr>
                <w:rFonts w:ascii="Cambria Math" w:hAnsi="Cambria Math"/>
                <w:lang w:val="es-EC"/>
              </w:rPr>
              <m:t>s</m:t>
            </m:r>
          </m:e>
          <m:sup>
            <m:r>
              <w:rPr>
                <w:rFonts w:ascii="Cambria Math" w:hAnsi="Cambria Math"/>
                <w:lang w:val="es-EC"/>
              </w:rPr>
              <m:t>-</m:t>
            </m:r>
            <m:r>
              <w:rPr>
                <w:rFonts w:ascii="Cambria Math" w:hAnsi="Cambria Math"/>
                <w:lang w:val="es-EC"/>
              </w:rPr>
              <m:t>1</m:t>
            </m:r>
          </m:sup>
        </m:sSup>
      </m:oMath>
      <w:r w:rsidRPr="001B686F">
        <w:rPr>
          <w:lang w:val="es-EC"/>
        </w:rPr>
        <w:t>, comparable a las tasas de separación de los polos del huso in vivo</w:t>
      </w:r>
      <w:r w:rsidRPr="00806F50">
        <w:rPr>
          <w:vertAlign w:val="superscript"/>
          <w:lang w:val="es-EC"/>
        </w:rPr>
        <w:t>6</w:t>
      </w:r>
      <w:r w:rsidRPr="001B686F">
        <w:rPr>
          <w:lang w:val="es-EC"/>
        </w:rPr>
        <w:t>. Además, encontramos que Eg5 puede unir los extremos positivos de los microtúbulos, lo que sugiere un modo adicional de unión a microtúbulos para Eg5.</w:t>
      </w:r>
      <w:r w:rsidR="00806F50">
        <w:rPr>
          <w:lang w:val="es-EC"/>
        </w:rPr>
        <w:t xml:space="preserve"> </w:t>
      </w:r>
      <w:r w:rsidRPr="001B686F">
        <w:rPr>
          <w:lang w:val="es-EC"/>
        </w:rPr>
        <w:t>Nuestros resultados demuestran cómo es probable que los miembros de la familia kinesina-5 funcionen en la mitosis, separando los microtúbulos interpolares, así como reclutando</w:t>
      </w:r>
      <w:r w:rsidR="00806F50">
        <w:rPr>
          <w:lang w:val="es-EC"/>
        </w:rPr>
        <w:t xml:space="preserve"> </w:t>
      </w:r>
      <w:r w:rsidRPr="001B686F">
        <w:rPr>
          <w:lang w:val="es-EC"/>
        </w:rPr>
        <w:t>microtúbulos en haces que posteriormente son polarizados mediante deslizamiento</w:t>
      </w:r>
      <w:r w:rsidR="00806F50">
        <w:rPr>
          <w:lang w:val="es-EC"/>
        </w:rPr>
        <w:t xml:space="preserve"> </w:t>
      </w:r>
      <w:r w:rsidRPr="001B686F">
        <w:rPr>
          <w:lang w:val="es-EC"/>
        </w:rPr>
        <w:t>relativo. Anticipamos que nuestro ensayo sea un punto de partida para modelos in vitro más sofisticados de husos mitóticos. Por ejemplo, podría probarse la acción individual y combinada de múltiples motores mitóticos, incluidos motores dirigidos hacia el extremo negativo que se oponen a la motilidad de Eg5. Además, la inhibición de Eg5 es un objetivo principal en el desarrollo de fármacos anticancerígenos, y un ensayo bien definido y cuantitativo para la función motora será relevante para dichos desarrollos.</w:t>
      </w:r>
    </w:p>
    <w:p w14:paraId="1953CD31" w14:textId="77777777" w:rsidR="00806F50" w:rsidRDefault="00806F50" w:rsidP="001B686F">
      <w:pPr>
        <w:spacing w:after="0"/>
        <w:rPr>
          <w:lang w:val="es-EC"/>
        </w:rPr>
      </w:pPr>
    </w:p>
    <w:p w14:paraId="6F85E738" w14:textId="0B76E442" w:rsidR="00806F50" w:rsidRPr="001B686F" w:rsidRDefault="00806F50" w:rsidP="001B686F">
      <w:pPr>
        <w:spacing w:after="0"/>
        <w:rPr>
          <w:lang w:val="es-EC"/>
        </w:rPr>
      </w:pPr>
      <w:r>
        <w:rPr>
          <w:lang w:val="es-EC"/>
        </w:rPr>
        <w:t>Desglose de configuración de ejemplo de estructura Párrafo: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806F50" w:rsidRPr="001B686F" w14:paraId="49EBCAB0" w14:textId="77777777" w:rsidTr="00806F50">
        <w:tc>
          <w:tcPr>
            <w:tcW w:w="4390" w:type="dxa"/>
          </w:tcPr>
          <w:p w14:paraId="4AFAD9B1" w14:textId="7B6A8460" w:rsidR="00806F50" w:rsidRPr="001B686F" w:rsidRDefault="00806F50" w:rsidP="00806F50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Descripción de como se hace esa parte del Párrafo.</w:t>
            </w:r>
          </w:p>
        </w:tc>
        <w:tc>
          <w:tcPr>
            <w:tcW w:w="4390" w:type="dxa"/>
          </w:tcPr>
          <w:p w14:paraId="147E3CB6" w14:textId="48A8E104" w:rsidR="00806F50" w:rsidRPr="001B686F" w:rsidRDefault="00806F50" w:rsidP="00806F50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Partes del Párrafo</w:t>
            </w:r>
          </w:p>
        </w:tc>
      </w:tr>
      <w:tr w:rsidR="001B686F" w:rsidRPr="001B686F" w14:paraId="4F1E68BB" w14:textId="77777777" w:rsidTr="00806F50">
        <w:tc>
          <w:tcPr>
            <w:tcW w:w="4390" w:type="dxa"/>
          </w:tcPr>
          <w:p w14:paraId="4DB75EC6" w14:textId="1FA73F84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Una o dos oraciones que proporcionen una introducción básica al campo,</w:t>
            </w:r>
            <w:r w:rsidRPr="001B686F">
              <w:rPr>
                <w:lang w:val="es-EC"/>
              </w:rPr>
              <w:br/>
              <w:t>comprensible para un científico de cualquier disciplina.</w:t>
            </w:r>
          </w:p>
        </w:tc>
        <w:tc>
          <w:tcPr>
            <w:tcW w:w="4390" w:type="dxa"/>
          </w:tcPr>
          <w:p w14:paraId="0EBBA10F" w14:textId="3FD56359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 xml:space="preserve">Durante la división celular, los </w:t>
            </w:r>
            <w:r w:rsidRPr="001B686F">
              <w:rPr>
                <w:lang w:val="es-EC"/>
              </w:rPr>
              <w:t>usos</w:t>
            </w:r>
            <w:r w:rsidRPr="001B686F">
              <w:rPr>
                <w:lang w:val="es-EC"/>
              </w:rPr>
              <w:t xml:space="preserve"> mitóticos se ensamblan mediante proteínas motoras</w:t>
            </w:r>
            <w:r w:rsidR="00806F50"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basadas en microtúbulos</w:t>
            </w:r>
            <w:r w:rsidRPr="00806F50">
              <w:rPr>
                <w:vertAlign w:val="superscript"/>
                <w:lang w:val="es-EC"/>
              </w:rPr>
              <w:t>1,2</w:t>
            </w:r>
            <w:r w:rsidRPr="001B686F">
              <w:rPr>
                <w:lang w:val="es-EC"/>
              </w:rPr>
              <w:t>.</w:t>
            </w:r>
          </w:p>
        </w:tc>
      </w:tr>
      <w:tr w:rsidR="001B686F" w:rsidRPr="001B686F" w14:paraId="48EF7FC3" w14:textId="77777777" w:rsidTr="00806F50">
        <w:tc>
          <w:tcPr>
            <w:tcW w:w="4390" w:type="dxa"/>
          </w:tcPr>
          <w:p w14:paraId="5CA4B52F" w14:textId="56F925D9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Dos o tres oraciones con antecedentes más detallados, comprensibles</w:t>
            </w:r>
            <w:r w:rsidRPr="001B686F">
              <w:rPr>
                <w:lang w:val="es-EC"/>
              </w:rPr>
              <w:br/>
              <w:t>para científicos de disciplinas relacionadas.</w:t>
            </w:r>
          </w:p>
        </w:tc>
        <w:tc>
          <w:tcPr>
            <w:tcW w:w="4390" w:type="dxa"/>
          </w:tcPr>
          <w:p w14:paraId="35C7B174" w14:textId="598CD4DB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 xml:space="preserve">La organización bipolar de los </w:t>
            </w:r>
            <w:r w:rsidRPr="001B686F">
              <w:rPr>
                <w:lang w:val="es-EC"/>
              </w:rPr>
              <w:t>usos</w:t>
            </w:r>
            <w:r w:rsidRPr="001B686F">
              <w:rPr>
                <w:lang w:val="es-EC"/>
              </w:rPr>
              <w:t xml:space="preserve"> es esencial para la correcta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 xml:space="preserve">segregación de los cromosomas y requiere proteínas motoras </w:t>
            </w:r>
            <w:proofErr w:type="spellStart"/>
            <w:r w:rsidRPr="001B686F">
              <w:rPr>
                <w:lang w:val="es-EC"/>
              </w:rPr>
              <w:t>homotetraméricas</w:t>
            </w:r>
            <w:proofErr w:type="spellEnd"/>
            <w:r w:rsidRPr="001B686F">
              <w:rPr>
                <w:lang w:val="es-EC"/>
              </w:rPr>
              <w:t xml:space="preserve"> dirigidas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hacia el extremo positivo de la familia</w:t>
            </w:r>
            <w:r w:rsidR="00806F50" w:rsidRPr="00806F50">
              <w:rPr>
                <w:vertAlign w:val="superscript"/>
                <w:lang w:val="es-EC"/>
              </w:rPr>
              <w:t>3</w:t>
            </w:r>
            <w:r w:rsidRPr="001B686F">
              <w:rPr>
                <w:lang w:val="es-EC"/>
              </w:rPr>
              <w:t xml:space="preserve"> ampliamente conservada kinesina-5 (</w:t>
            </w:r>
            <w:proofErr w:type="spellStart"/>
            <w:r w:rsidRPr="001B686F">
              <w:rPr>
                <w:lang w:val="es-EC"/>
              </w:rPr>
              <w:t>BimC</w:t>
            </w:r>
            <w:proofErr w:type="spellEnd"/>
            <w:r w:rsidRPr="001B686F">
              <w:rPr>
                <w:lang w:val="es-EC"/>
              </w:rPr>
              <w:t>).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 xml:space="preserve">Las hipótesis </w:t>
            </w:r>
            <w:r w:rsidRPr="001B686F">
              <w:rPr>
                <w:lang w:val="es-EC"/>
              </w:rPr>
              <w:lastRenderedPageBreak/>
              <w:t>sobre la formación del huso bipolar incluyen el modelo de “músculo mitótico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de empuje–tracción”, en el que la kinesina-5 y proteínas motoras opuestas actúan entre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microtúbulos superpuestos</w:t>
            </w:r>
            <w:r w:rsidRPr="00806F50">
              <w:rPr>
                <w:vertAlign w:val="superscript"/>
                <w:lang w:val="es-EC"/>
              </w:rPr>
              <w:t>2,4,5</w:t>
            </w:r>
            <w:r w:rsidRPr="001B686F">
              <w:rPr>
                <w:lang w:val="es-EC"/>
              </w:rPr>
              <w:t>.</w:t>
            </w:r>
          </w:p>
        </w:tc>
      </w:tr>
      <w:tr w:rsidR="001B686F" w:rsidRPr="001B686F" w14:paraId="7B15778F" w14:textId="77777777" w:rsidTr="00806F50">
        <w:tc>
          <w:tcPr>
            <w:tcW w:w="4390" w:type="dxa"/>
          </w:tcPr>
          <w:p w14:paraId="270546C4" w14:textId="7796B3C3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lastRenderedPageBreak/>
              <w:t>Una oración que establezca claramente el problema general que aborda</w:t>
            </w:r>
            <w:r w:rsidRPr="001B686F">
              <w:rPr>
                <w:lang w:val="es-EC"/>
              </w:rPr>
              <w:br/>
              <w:t>este estudio en particular.</w:t>
            </w:r>
          </w:p>
        </w:tc>
        <w:tc>
          <w:tcPr>
            <w:tcW w:w="4390" w:type="dxa"/>
          </w:tcPr>
          <w:p w14:paraId="10788866" w14:textId="48A2EC19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Sin embargo, los roles precisos de la kinesina-5 durante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este proceso son desconocidos.</w:t>
            </w:r>
          </w:p>
        </w:tc>
      </w:tr>
      <w:tr w:rsidR="001B686F" w:rsidRPr="001B686F" w14:paraId="75F205C2" w14:textId="77777777" w:rsidTr="00806F50">
        <w:tc>
          <w:tcPr>
            <w:tcW w:w="4390" w:type="dxa"/>
          </w:tcPr>
          <w:p w14:paraId="0198A63C" w14:textId="665B745C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Una oración que resuma el resultado principal (con las palabras “aquí mostramos”</w:t>
            </w:r>
            <w:r w:rsidRPr="001B686F">
              <w:rPr>
                <w:lang w:val="es-EC"/>
              </w:rPr>
              <w:br/>
              <w:t>o su equivalente).</w:t>
            </w:r>
          </w:p>
        </w:tc>
        <w:tc>
          <w:tcPr>
            <w:tcW w:w="4390" w:type="dxa"/>
          </w:tcPr>
          <w:p w14:paraId="582DF3E2" w14:textId="5A1D4AD6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Aquí mostramos que la kinesina-5 vertebrada Eg5 impulsa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el deslizamiento de los microtúbulos dependiendo de su orientación relativa.</w:t>
            </w:r>
          </w:p>
        </w:tc>
      </w:tr>
      <w:tr w:rsidR="001B686F" w:rsidRPr="001B686F" w14:paraId="33F209C6" w14:textId="77777777" w:rsidTr="00806F50">
        <w:tc>
          <w:tcPr>
            <w:tcW w:w="4390" w:type="dxa"/>
          </w:tcPr>
          <w:p w14:paraId="60D3D4EB" w14:textId="2093A555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Dos o tres oraciones que expliquen lo que revela el resultado principal en comparación</w:t>
            </w:r>
            <w:r w:rsidRPr="001B686F">
              <w:rPr>
                <w:lang w:val="es-EC"/>
              </w:rPr>
              <w:br/>
              <w:t>directa con lo que se pensaba previamente, o cómo el resultado principal</w:t>
            </w:r>
            <w:r w:rsidRPr="001B686F">
              <w:rPr>
                <w:lang w:val="es-EC"/>
              </w:rPr>
              <w:br/>
              <w:t>amplía el conocimiento previo.</w:t>
            </w:r>
          </w:p>
        </w:tc>
        <w:tc>
          <w:tcPr>
            <w:tcW w:w="4390" w:type="dxa"/>
          </w:tcPr>
          <w:p w14:paraId="399C1583" w14:textId="13160656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Encontramos en ensayos in vitro controlados que Eg5 tiene la notable capacidad de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moverse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 xml:space="preserve">simultáneamente a aproximadamente </w:t>
            </w:r>
            <m:oMath>
              <m:r>
                <w:rPr>
                  <w:rFonts w:ascii="Cambria Math" w:hAnsi="Cambria Math"/>
                  <w:lang w:val="es-EC"/>
                </w:rPr>
                <m:t xml:space="preserve">~20 nm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-1</m:t>
                  </m:r>
                </m:sup>
              </m:sSup>
            </m:oMath>
            <w:r w:rsidRPr="001B686F">
              <w:rPr>
                <w:lang w:val="es-EC"/>
              </w:rPr>
              <w:t xml:space="preserve"> hacia los extremos positivos de cada uno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de los dos microtúbulos que entrecruza. Para microtúbulos antiparalelos, esto resulta en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 xml:space="preserve">un deslizamiento relativo de aproximadamente </w:t>
            </w:r>
            <m:oMath>
              <m:r>
                <w:rPr>
                  <w:rFonts w:ascii="Cambria Math" w:hAnsi="Cambria Math"/>
                  <w:lang w:val="es-EC"/>
                </w:rPr>
                <m:t xml:space="preserve">~40 nm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C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C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C"/>
                    </w:rPr>
                    <m:t>-1</m:t>
                  </m:r>
                </m:sup>
              </m:sSup>
            </m:oMath>
            <w:r w:rsidRPr="001B686F">
              <w:rPr>
                <w:lang w:val="es-EC"/>
              </w:rPr>
              <w:t>, comparable a las tasas de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separación de los polos del huso in vivo</w:t>
            </w:r>
            <w:r w:rsidRPr="00806F50">
              <w:rPr>
                <w:vertAlign w:val="superscript"/>
                <w:lang w:val="es-EC"/>
              </w:rPr>
              <w:t>6</w:t>
            </w:r>
            <w:r w:rsidRPr="001B686F">
              <w:rPr>
                <w:lang w:val="es-EC"/>
              </w:rPr>
              <w:t>. Además, encontramos que Eg5 puede unir los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extremos positivos de los microtúbulos, lo que sugiere un modo adicional de unión a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microtúbulos para Eg5.</w:t>
            </w:r>
          </w:p>
        </w:tc>
      </w:tr>
      <w:tr w:rsidR="001B686F" w:rsidRPr="001B686F" w14:paraId="618DB742" w14:textId="77777777" w:rsidTr="00806F50">
        <w:tc>
          <w:tcPr>
            <w:tcW w:w="4390" w:type="dxa"/>
          </w:tcPr>
          <w:p w14:paraId="676DB9D5" w14:textId="331C81AE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Una o dos oraciones para situar los resultados en un contexto más general.</w:t>
            </w:r>
          </w:p>
        </w:tc>
        <w:tc>
          <w:tcPr>
            <w:tcW w:w="4390" w:type="dxa"/>
          </w:tcPr>
          <w:p w14:paraId="777F1676" w14:textId="08F68B5A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Nuestros resultados demuestran cómo es probable que los miembros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de la familia kinesina-5 funcionen en la mitosis, separando los microtúbulos interpolares,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así como reclutando microtúbulos en haces que posteriormente son polarizados mediante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 xml:space="preserve">deslizamiento relativo. </w:t>
            </w:r>
          </w:p>
        </w:tc>
      </w:tr>
      <w:tr w:rsidR="001B686F" w:rsidRPr="001B686F" w14:paraId="5A9A1760" w14:textId="77777777" w:rsidTr="00806F50">
        <w:tc>
          <w:tcPr>
            <w:tcW w:w="4390" w:type="dxa"/>
          </w:tcPr>
          <w:p w14:paraId="6AD27FB1" w14:textId="45BC0426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Dos o tres oraciones para proporcionar una perspectiva más amplia,</w:t>
            </w:r>
            <w:r w:rsidRPr="001B686F">
              <w:rPr>
                <w:lang w:val="es-EC"/>
              </w:rPr>
              <w:br/>
              <w:t>fácilmente comprensible para un científico de cualquier disciplina, pueden incluirse</w:t>
            </w:r>
            <w:r w:rsidRPr="001B686F">
              <w:rPr>
                <w:lang w:val="es-EC"/>
              </w:rPr>
              <w:br/>
              <w:t>en el primer párrafo si el editor considera que la accesibilidad del artículo</w:t>
            </w:r>
            <w:r w:rsidRPr="001B686F">
              <w:rPr>
                <w:lang w:val="es-EC"/>
              </w:rPr>
              <w:br/>
              <w:t>mejora significativamente con su inclusión. En estas circunstancias,</w:t>
            </w:r>
            <w:r w:rsidRPr="001B686F">
              <w:rPr>
                <w:lang w:val="es-EC"/>
              </w:rPr>
              <w:br/>
              <w:t>la extensión del párrafo puede ser de hasta 300 palabras. (Este ejemplo tiene</w:t>
            </w:r>
            <w:r w:rsidRPr="001B686F">
              <w:rPr>
                <w:lang w:val="es-EC"/>
              </w:rPr>
              <w:br/>
              <w:t>190 palabras sin la sección final y 250 palabras con ella).</w:t>
            </w:r>
          </w:p>
        </w:tc>
        <w:tc>
          <w:tcPr>
            <w:tcW w:w="4390" w:type="dxa"/>
          </w:tcPr>
          <w:p w14:paraId="2879901B" w14:textId="395A8216" w:rsidR="001B686F" w:rsidRPr="001B686F" w:rsidRDefault="001B686F" w:rsidP="00806F50">
            <w:pPr>
              <w:jc w:val="both"/>
              <w:rPr>
                <w:lang w:val="es-EC"/>
              </w:rPr>
            </w:pPr>
            <w:r w:rsidRPr="001B686F">
              <w:rPr>
                <w:lang w:val="es-EC"/>
              </w:rPr>
              <w:t>Anticipamos que nuestro ensayo sea un punto de partida para modelos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in vitro más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sofisticados de husos mitóticos. Por ejemplo, podría probarse la acción individual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y combinada de múltiples motores mitóticos, incluidos motores dirigidos hacia el extremo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negativo que se oponen a la motilidad de Eg5. Además, la inhibición de Eg5 es un objetivo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principal en el desarrollo de fármacos anticancerígenos, y un ensayo bien definido y</w:t>
            </w:r>
            <w:r>
              <w:rPr>
                <w:lang w:val="es-EC"/>
              </w:rPr>
              <w:t xml:space="preserve"> </w:t>
            </w:r>
            <w:r w:rsidRPr="001B686F">
              <w:rPr>
                <w:lang w:val="es-EC"/>
              </w:rPr>
              <w:t>cuantitativo para la función motora será relevante para dichos desarrollos.</w:t>
            </w:r>
          </w:p>
        </w:tc>
      </w:tr>
    </w:tbl>
    <w:p w14:paraId="09EC19E5" w14:textId="6B1F60E3" w:rsidR="000D0871" w:rsidRPr="001B686F" w:rsidRDefault="000D0871" w:rsidP="00806F50">
      <w:pPr>
        <w:spacing w:after="0"/>
        <w:rPr>
          <w:lang w:val="es-EC"/>
        </w:rPr>
      </w:pPr>
    </w:p>
    <w:sectPr w:rsidR="000D0871" w:rsidRPr="001B686F" w:rsidSect="00806F50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021047">
    <w:abstractNumId w:val="8"/>
  </w:num>
  <w:num w:numId="2" w16cid:durableId="1293367573">
    <w:abstractNumId w:val="6"/>
  </w:num>
  <w:num w:numId="3" w16cid:durableId="641233261">
    <w:abstractNumId w:val="5"/>
  </w:num>
  <w:num w:numId="4" w16cid:durableId="1227228431">
    <w:abstractNumId w:val="4"/>
  </w:num>
  <w:num w:numId="5" w16cid:durableId="1395085013">
    <w:abstractNumId w:val="7"/>
  </w:num>
  <w:num w:numId="6" w16cid:durableId="340204058">
    <w:abstractNumId w:val="3"/>
  </w:num>
  <w:num w:numId="7" w16cid:durableId="1716813695">
    <w:abstractNumId w:val="2"/>
  </w:num>
  <w:num w:numId="8" w16cid:durableId="579218240">
    <w:abstractNumId w:val="1"/>
  </w:num>
  <w:num w:numId="9" w16cid:durableId="123385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C0C"/>
    <w:rsid w:val="00034616"/>
    <w:rsid w:val="0006063C"/>
    <w:rsid w:val="000D0871"/>
    <w:rsid w:val="0015074B"/>
    <w:rsid w:val="001B686F"/>
    <w:rsid w:val="0029639D"/>
    <w:rsid w:val="00326F90"/>
    <w:rsid w:val="00806F50"/>
    <w:rsid w:val="00AA1D8D"/>
    <w:rsid w:val="00AF0164"/>
    <w:rsid w:val="00B47730"/>
    <w:rsid w:val="00CB0664"/>
    <w:rsid w:val="00EB1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3C54C5"/>
  <w14:defaultImageDpi w14:val="300"/>
  <w15:docId w15:val="{E3769626-E8EE-494C-986D-5781FC41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882</Words>
  <Characters>4854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Guitarra Sanchez Jhon Alexander</cp:lastModifiedBy>
  <cp:revision>3</cp:revision>
  <dcterms:created xsi:type="dcterms:W3CDTF">2026-02-26T04:46:00Z</dcterms:created>
  <dcterms:modified xsi:type="dcterms:W3CDTF">2026-02-26T04:47:00Z</dcterms:modified>
  <cp:category/>
</cp:coreProperties>
</file>