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 w:eastAsia="黑体"/>
          <w:b/>
          <w:sz w:val="44"/>
        </w:rPr>
        <w:t>AI 时代软件开发课程设计</w:t>
      </w:r>
    </w:p>
    <w:p>
      <w:pPr>
        <w:jc w:val="center"/>
      </w:pPr>
      <w:r>
        <w:rPr>
          <w:rFonts w:ascii="Times New Roman" w:hAnsi="Times New Roman" w:eastAsia="黑体"/>
          <w:b/>
          <w:sz w:val="40"/>
        </w:rPr>
        <w:t>项目组协作设计文档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6"/>
        <w:gridCol w:w="2266"/>
        <w:gridCol w:w="2266"/>
        <w:gridCol w:w="2266"/>
      </w:tblGrid>
      <w:tr>
        <w:tc>
          <w:tcPr>
            <w:tcW w:type="dxa" w:w="2266"/>
            <w:vAlign w:val="center"/>
            <w:shd w:fill="FCE4D6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课程名称</w:t>
            </w:r>
          </w:p>
        </w:tc>
        <w:tc>
          <w:tcPr>
            <w:tcW w:type="dxa" w:w="2266"/>
            <w:vAlign w:val="center"/>
            <w:shd w:fill="FCE4D6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数据库原理与应用</w:t>
            </w:r>
          </w:p>
        </w:tc>
        <w:tc>
          <w:tcPr>
            <w:tcW w:type="dxa" w:w="2266"/>
            <w:vAlign w:val="center"/>
            <w:shd w:fill="FCE4D6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提交日期</w:t>
            </w:r>
          </w:p>
        </w:tc>
        <w:tc>
          <w:tcPr>
            <w:tcW w:type="dxa" w:w="2266"/>
            <w:vAlign w:val="center"/>
            <w:shd w:fill="FCE4D6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2026年6月27日</w:t>
            </w:r>
          </w:p>
        </w:tc>
      </w:tr>
      <w:tr>
        <w:tc>
          <w:tcPr>
            <w:tcW w:type="dxa" w:w="2266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系统名称</w:t>
            </w:r>
          </w:p>
        </w:tc>
        <w:tc>
          <w:tcPr>
            <w:tcW w:type="dxa" w:w="2266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实验室设备与耗材管理系统</w:t>
            </w:r>
          </w:p>
        </w:tc>
        <w:tc>
          <w:tcPr>
            <w:tcW w:type="dxa" w:w="2266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  <w:tc>
          <w:tcPr>
            <w:tcW w:type="dxa" w:w="2266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</w:tr>
      <w:tr>
        <w:tc>
          <w:tcPr>
            <w:tcW w:type="dxa" w:w="2266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姓名</w:t>
            </w:r>
          </w:p>
        </w:tc>
        <w:tc>
          <w:tcPr>
            <w:tcW w:type="dxa" w:w="2266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卫德翔</w:t>
            </w:r>
          </w:p>
        </w:tc>
        <w:tc>
          <w:tcPr>
            <w:tcW w:type="dxa" w:w="2266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学号</w:t>
            </w:r>
          </w:p>
        </w:tc>
        <w:tc>
          <w:tcPr>
            <w:tcW w:type="dxa" w:w="2266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202400406103</w:t>
            </w:r>
          </w:p>
        </w:tc>
      </w:tr>
      <w:tr>
        <w:tc>
          <w:tcPr>
            <w:tcW w:type="dxa" w:w="2266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班级</w:t>
            </w:r>
          </w:p>
        </w:tc>
        <w:tc>
          <w:tcPr>
            <w:tcW w:type="dxa" w:w="2266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软件243</w:t>
            </w:r>
          </w:p>
        </w:tc>
        <w:tc>
          <w:tcPr>
            <w:tcW w:type="dxa" w:w="2266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指导教师</w:t>
            </w:r>
          </w:p>
        </w:tc>
        <w:tc>
          <w:tcPr>
            <w:tcW w:type="dxa" w:w="2266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</w:tr>
      <w:tr>
        <w:tc>
          <w:tcPr>
            <w:tcW w:type="dxa" w:w="2266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技术栈</w:t>
            </w:r>
          </w:p>
        </w:tc>
        <w:tc>
          <w:tcPr>
            <w:tcW w:type="dxa" w:w="2266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Spring Boot 3 / Vue 3 / MySQL 8 / Redis 7</w:t>
            </w:r>
          </w:p>
        </w:tc>
        <w:tc>
          <w:tcPr>
            <w:tcW w:type="dxa" w:w="2266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  <w:tc>
          <w:tcPr>
            <w:tcW w:type="dxa" w:w="2266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6"/>
        <w:gridCol w:w="2266"/>
        <w:gridCol w:w="2266"/>
        <w:gridCol w:w="2266"/>
      </w:tblGrid>
      <w:tr>
        <w:tc>
          <w:tcPr>
            <w:tcW w:type="dxa" w:w="2266"/>
            <w:vAlign w:val="center"/>
            <w:shd w:fill="D9EAD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角色</w:t>
            </w:r>
          </w:p>
        </w:tc>
        <w:tc>
          <w:tcPr>
            <w:tcW w:type="dxa" w:w="2266"/>
            <w:vAlign w:val="center"/>
            <w:shd w:fill="D9EAD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姓名</w:t>
            </w:r>
          </w:p>
        </w:tc>
        <w:tc>
          <w:tcPr>
            <w:tcW w:type="dxa" w:w="2266"/>
            <w:vAlign w:val="center"/>
            <w:shd w:fill="D9EAD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学号</w:t>
            </w:r>
          </w:p>
        </w:tc>
        <w:tc>
          <w:tcPr>
            <w:tcW w:type="dxa" w:w="2266"/>
            <w:vAlign w:val="center"/>
            <w:shd w:fill="D9EAD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班级</w:t>
            </w:r>
          </w:p>
        </w:tc>
      </w:tr>
      <w:tr>
        <w:tc>
          <w:tcPr>
            <w:tcW w:type="dxa" w:w="2266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统筹者 D</w:t>
            </w:r>
          </w:p>
        </w:tc>
        <w:tc>
          <w:tcPr>
            <w:tcW w:type="dxa" w:w="2266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卫德翔</w:t>
            </w:r>
          </w:p>
        </w:tc>
        <w:tc>
          <w:tcPr>
            <w:tcW w:type="dxa" w:w="2266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202400406103</w:t>
            </w:r>
          </w:p>
        </w:tc>
        <w:tc>
          <w:tcPr>
            <w:tcW w:type="dxa" w:w="2266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软件243</w:t>
            </w:r>
          </w:p>
        </w:tc>
      </w:tr>
      <w:tr>
        <w:tc>
          <w:tcPr>
            <w:tcW w:type="dxa" w:w="2266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成员 A</w:t>
            </w:r>
          </w:p>
        </w:tc>
        <w:tc>
          <w:tcPr>
            <w:tcW w:type="dxa" w:w="2266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  <w:tc>
          <w:tcPr>
            <w:tcW w:type="dxa" w:w="2266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  <w:tc>
          <w:tcPr>
            <w:tcW w:type="dxa" w:w="2266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</w:tr>
      <w:tr>
        <w:tc>
          <w:tcPr>
            <w:tcW w:type="dxa" w:w="2266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成员 B</w:t>
            </w:r>
          </w:p>
        </w:tc>
        <w:tc>
          <w:tcPr>
            <w:tcW w:type="dxa" w:w="2266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  <w:tc>
          <w:tcPr>
            <w:tcW w:type="dxa" w:w="2266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  <w:tc>
          <w:tcPr>
            <w:tcW w:type="dxa" w:w="2266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</w:tr>
      <w:tr>
        <w:tc>
          <w:tcPr>
            <w:tcW w:type="dxa" w:w="2266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成员 C</w:t>
            </w:r>
          </w:p>
        </w:tc>
        <w:tc>
          <w:tcPr>
            <w:tcW w:type="dxa" w:w="2266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  <w:tc>
          <w:tcPr>
            <w:tcW w:type="dxa" w:w="2266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  <w:tc>
          <w:tcPr>
            <w:tcW w:type="dxa" w:w="2266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</w:tr>
    </w:tbl>
    <w:p/>
    <w:p>
      <w:pPr>
        <w:pStyle w:val="Heading2"/>
      </w:pPr>
      <w:r>
        <w:rPr>
          <w:rFonts w:ascii="Times New Roman" w:hAnsi="Times New Roman" w:eastAsia="黑体"/>
          <w:b/>
          <w:color w:val="1F4E79"/>
          <w:sz w:val="28"/>
        </w:rPr>
        <w:t>文档说明</w:t>
      </w:r>
    </w:p>
    <w:p>
      <w:pPr>
        <w:spacing w:line="324" w:lineRule="auto"/>
        <w:ind w:firstLine="420"/>
      </w:pPr>
      <w:r>
        <w:rPr>
          <w:rFonts w:ascii="Times New Roman" w:hAnsi="Times New Roman" w:eastAsia="宋体"/>
          <w:b w:val="0"/>
          <w:sz w:val="24"/>
        </w:rPr>
        <w:t>本文档参照样板《酒店管理设计说明书》的组织方式，按照“需求分析 → 数据库设计 → 框架搭建 → 模块开发 → 集成测试”的课程设计流程展开。文档内容面向高校实验室设备、耗材和危化品管理场景，重点说明系统边界、角色职责、用例流程、概念结构、逻辑表设计、数据库对象设计和测试关注点。</w:t>
      </w:r>
    </w:p>
    <w:p>
      <w:pPr>
        <w:spacing w:line="324" w:lineRule="auto"/>
      </w:pPr>
      <w:r>
        <w:rPr>
          <w:rFonts w:ascii="Times New Roman" w:hAnsi="Times New Roman" w:eastAsia="宋体"/>
          <w:b w:val="0"/>
          <w:sz w:val="24"/>
        </w:rPr>
        <w:t>黄色背景 = 学生填写区        蓝色背景 = 说明区        橙色 = 统筹者负责</w:t>
      </w:r>
    </w:p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2"/>
        <w:gridCol w:w="4532"/>
      </w:tblGrid>
      <w:tr>
        <w:tc>
          <w:tcPr>
            <w:tcW w:type="dxa" w:w="4532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STEP</w:t>
              <w:br/>
              <w:t>01</w:t>
            </w:r>
          </w:p>
        </w:tc>
        <w:tc>
          <w:tcPr>
            <w:tcW w:type="dxa" w:w="4532"/>
            <w:vAlign w:val="center"/>
            <w:shd w:fill="EAF4FF"/>
          </w:tcPr>
          <w:p>
            <w:r/>
            <w:r>
              <w:rPr>
                <w:rFonts w:ascii="Times New Roman" w:hAnsi="Times New Roman" w:eastAsia="宋体"/>
                <w:b/>
                <w:sz w:val="21"/>
              </w:rPr>
              <w:t>需求分析</w:t>
              <w:br/>
              <w:t>用例图 + 用例说明书，明确系统边界和业务流程</w:t>
            </w:r>
          </w:p>
        </w:tc>
      </w:tr>
    </w:tbl>
    <w:p/>
    <w:p>
      <w:pPr>
        <w:pStyle w:val="Heading2"/>
      </w:pPr>
      <w:r>
        <w:rPr>
          <w:rFonts w:ascii="Times New Roman" w:hAnsi="Times New Roman" w:eastAsia="黑体"/>
          <w:b/>
          <w:color w:val="1F4E79"/>
          <w:sz w:val="28"/>
        </w:rPr>
        <w:t>1.1  系统描述</w:t>
      </w:r>
    </w:p>
    <w:p>
      <w:pPr>
        <w:spacing w:line="324" w:lineRule="auto"/>
        <w:ind w:firstLine="420"/>
      </w:pPr>
      <w:r>
        <w:rPr>
          <w:rFonts w:ascii="Times New Roman" w:hAnsi="Times New Roman" w:eastAsia="宋体"/>
          <w:b w:val="0"/>
          <w:sz w:val="24"/>
        </w:rPr>
        <w:t>实验室设备与耗材管理系统是面向高校实验室日常教学、科研和安全管理的信息管理系统。系统围绕设备、耗材、危化品、库存、借还、维修、校准、提醒、报表和权限控制等核心业务建立统一数据平台，解决传统实验室资产分散、库存不透明、危化品追踪困难、审批链条不完整和操作记录不可追溯等问题。</w:t>
      </w:r>
    </w:p>
    <w:p>
      <w:pPr>
        <w:spacing w:line="324" w:lineRule="auto"/>
        <w:ind w:firstLine="420"/>
      </w:pPr>
      <w:r>
        <w:rPr>
          <w:rFonts w:ascii="Times New Roman" w:hAnsi="Times New Roman" w:eastAsia="宋体"/>
          <w:b w:val="0"/>
          <w:sz w:val="24"/>
        </w:rPr>
        <w:t>本项目采用前后端分离架构：后端使用 Spring Boot 3、Spring Security、JWT 和 MyBatis-Plus，前端使用 Vue 3、TypeScript、Element Plus 和 ECharts，数据库使用 MySQL 8，缓存使用 Redis 7。系统支持 RBAC 权限控制，细化到菜单级与按钮级权限。</w:t>
      </w:r>
    </w:p>
    <w:p>
      <w:pPr>
        <w:pStyle w:val="Heading2"/>
      </w:pPr>
      <w:r>
        <w:rPr>
          <w:rFonts w:ascii="Times New Roman" w:hAnsi="Times New Roman" w:eastAsia="黑体"/>
          <w:b/>
          <w:color w:val="1F4E79"/>
          <w:sz w:val="28"/>
        </w:rPr>
        <w:t>1、系统功能</w:t>
      </w:r>
    </w:p>
    <w:p>
      <w:pPr>
        <w:spacing w:line="324" w:lineRule="auto"/>
        <w:ind w:firstLine="420"/>
      </w:pPr>
      <w:r>
        <w:rPr>
          <w:rFonts w:ascii="Times New Roman" w:hAnsi="Times New Roman" w:eastAsia="宋体"/>
          <w:b w:val="0"/>
          <w:sz w:val="24"/>
        </w:rPr>
        <w:t>系统功能按业务范围划分为基础资料、设备业务、耗材业务、危化品业务、库存提醒、报表审计和系统权限七类。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2"/>
        <w:gridCol w:w="4532"/>
      </w:tblGrid>
      <w:tr>
        <w:tc>
          <w:tcPr>
            <w:tcW w:type="dxa" w:w="4532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模块</w:t>
            </w:r>
          </w:p>
        </w:tc>
        <w:tc>
          <w:tcPr>
            <w:tcW w:type="dxa" w:w="4532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功能说明</w:t>
            </w:r>
          </w:p>
        </w:tc>
      </w:tr>
      <w:tr>
        <w:tc>
          <w:tcPr>
            <w:tcW w:type="dxa" w:w="4532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登录认证</w:t>
            </w:r>
          </w:p>
        </w:tc>
        <w:tc>
          <w:tcPr>
            <w:tcW w:type="dxa" w:w="4532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用户名密码登录、JWT 鉴权、登录状态恢复、密码修改</w:t>
            </w:r>
          </w:p>
        </w:tc>
      </w:tr>
      <w:tr>
        <w:tc>
          <w:tcPr>
            <w:tcW w:type="dxa" w:w="4532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权限管理</w:t>
            </w:r>
          </w:p>
        </w:tc>
        <w:tc>
          <w:tcPr>
            <w:tcW w:type="dxa" w:w="4532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用户、角色、菜单、按钮权限控制，支持系统管理员、实验室主任、教师、学生及专项管理员</w:t>
            </w:r>
          </w:p>
        </w:tc>
      </w:tr>
      <w:tr>
        <w:tc>
          <w:tcPr>
            <w:tcW w:type="dxa" w:w="4532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实验室管理</w:t>
            </w:r>
          </w:p>
        </w:tc>
        <w:tc>
          <w:tcPr>
            <w:tcW w:type="dxa" w:w="4532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实验室基础信息、负责人、安全等级、状态管理</w:t>
            </w:r>
          </w:p>
        </w:tc>
      </w:tr>
      <w:tr>
        <w:tc>
          <w:tcPr>
            <w:tcW w:type="dxa" w:w="4532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设备管理</w:t>
            </w:r>
          </w:p>
        </w:tc>
        <w:tc>
          <w:tcPr>
            <w:tcW w:type="dxa" w:w="4532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设备分类、设备台账、状态维护、校准周期维护、借还和维修联动</w:t>
            </w:r>
          </w:p>
        </w:tc>
      </w:tr>
      <w:tr>
        <w:tc>
          <w:tcPr>
            <w:tcW w:type="dxa" w:w="4532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耗材管理</w:t>
            </w:r>
          </w:p>
        </w:tc>
        <w:tc>
          <w:tcPr>
            <w:tcW w:type="dxa" w:w="4532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耗材分类、耗材台账、安全库存、有效期、入库和出库</w:t>
            </w:r>
          </w:p>
        </w:tc>
      </w:tr>
      <w:tr>
        <w:tc>
          <w:tcPr>
            <w:tcW w:type="dxa" w:w="4532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危化品管理</w:t>
            </w:r>
          </w:p>
        </w:tc>
        <w:tc>
          <w:tcPr>
            <w:tcW w:type="dxa" w:w="4532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CAS 编号、危险类别、MSDS 编号、储存位置、领用、归还和废液处理</w:t>
            </w:r>
          </w:p>
        </w:tc>
      </w:tr>
      <w:tr>
        <w:tc>
          <w:tcPr>
            <w:tcW w:type="dxa" w:w="4532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库存管理</w:t>
            </w:r>
          </w:p>
        </w:tc>
        <w:tc>
          <w:tcPr>
            <w:tcW w:type="dxa" w:w="4532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统一库存、批次库存、库存数量校验、安全库存预警、过期预警</w:t>
            </w:r>
          </w:p>
        </w:tc>
      </w:tr>
      <w:tr>
        <w:tc>
          <w:tcPr>
            <w:tcW w:type="dxa" w:w="4532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通知提醒</w:t>
            </w:r>
          </w:p>
        </w:tc>
        <w:tc>
          <w:tcPr>
            <w:tcW w:type="dxa" w:w="4532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设备逾期催还、设备校准到期、耗材临期/过期提醒</w:t>
            </w:r>
          </w:p>
        </w:tc>
      </w:tr>
      <w:tr>
        <w:tc>
          <w:tcPr>
            <w:tcW w:type="dxa" w:w="4532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报表统计</w:t>
            </w:r>
          </w:p>
        </w:tc>
        <w:tc>
          <w:tcPr>
            <w:tcW w:type="dxa" w:w="4532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设备借用、维修、校准、耗材出库、危化品使用统计和 CSV 导出</w:t>
            </w:r>
          </w:p>
        </w:tc>
      </w:tr>
      <w:tr>
        <w:tc>
          <w:tcPr>
            <w:tcW w:type="dxa" w:w="4532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审计日志</w:t>
            </w:r>
          </w:p>
        </w:tc>
        <w:tc>
          <w:tcPr>
            <w:tcW w:type="dxa" w:w="4532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关键业务操作记录、模块名称、操作类型、业务主键、操作时间和状态</w:t>
            </w:r>
          </w:p>
        </w:tc>
      </w:tr>
    </w:tbl>
    <w:p/>
    <w:p>
      <w:pPr>
        <w:pStyle w:val="Heading2"/>
      </w:pPr>
      <w:r>
        <w:rPr>
          <w:rFonts w:ascii="Times New Roman" w:hAnsi="Times New Roman" w:eastAsia="黑体"/>
          <w:b/>
          <w:color w:val="1F4E79"/>
          <w:sz w:val="28"/>
        </w:rPr>
        <w:t>2．数据库设计要求</w:t>
      </w:r>
    </w:p>
    <w:p>
      <w:pPr>
        <w:spacing w:line="324" w:lineRule="auto"/>
      </w:pPr>
      <w:r>
        <w:rPr>
          <w:rFonts w:ascii="Times New Roman" w:hAnsi="Times New Roman" w:eastAsia="宋体"/>
          <w:b w:val="0"/>
          <w:sz w:val="24"/>
        </w:rPr>
        <w:t>（1）需求分析可在基础业务信息上适当扩展，覆盖设备、耗材、危化品、库存和权限控制等核心场景。</w:t>
      </w:r>
    </w:p>
    <w:p>
      <w:pPr>
        <w:spacing w:line="324" w:lineRule="auto"/>
      </w:pPr>
      <w:r>
        <w:rPr>
          <w:rFonts w:ascii="Times New Roman" w:hAnsi="Times New Roman" w:eastAsia="宋体"/>
          <w:b w:val="0"/>
          <w:sz w:val="24"/>
        </w:rPr>
        <w:t>（2）根据需求抽象实体与联系，采用 Chen Notation 绘制系统整体实体-联系图（E-R 图）。</w:t>
      </w:r>
    </w:p>
    <w:p>
      <w:pPr>
        <w:spacing w:line="324" w:lineRule="auto"/>
      </w:pPr>
      <w:r>
        <w:rPr>
          <w:rFonts w:ascii="Times New Roman" w:hAnsi="Times New Roman" w:eastAsia="宋体"/>
          <w:b w:val="0"/>
          <w:sz w:val="24"/>
        </w:rPr>
        <w:t>（3）数据库逻辑设计中应落实主键、外键、非空、唯一、缺省、检查约束和逻辑删除字段。</w:t>
      </w:r>
    </w:p>
    <w:p>
      <w:pPr>
        <w:spacing w:line="324" w:lineRule="auto"/>
      </w:pPr>
      <w:r>
        <w:rPr>
          <w:rFonts w:ascii="Times New Roman" w:hAnsi="Times New Roman" w:eastAsia="宋体"/>
          <w:b w:val="0"/>
          <w:sz w:val="24"/>
        </w:rPr>
        <w:t>（4）数据库物理设计应结合高频查询创建必要索引，避免盲目过度索引影响写入性能。</w:t>
      </w:r>
    </w:p>
    <w:p>
      <w:pPr>
        <w:spacing w:line="324" w:lineRule="auto"/>
      </w:pPr>
      <w:r>
        <w:rPr>
          <w:rFonts w:ascii="Times New Roman" w:hAnsi="Times New Roman" w:eastAsia="宋体"/>
          <w:b w:val="0"/>
          <w:sz w:val="24"/>
        </w:rPr>
        <w:t>（5）根据系统功能创建视图、存储过程和触发器，提高查询复用性并保证设备状态和库存数量一致。</w:t>
      </w:r>
    </w:p>
    <w:p>
      <w:pPr>
        <w:spacing w:line="324" w:lineRule="auto"/>
      </w:pPr>
      <w:r>
        <w:rPr>
          <w:rFonts w:ascii="Times New Roman" w:hAnsi="Times New Roman" w:eastAsia="宋体"/>
          <w:b w:val="0"/>
          <w:sz w:val="24"/>
        </w:rPr>
        <w:t>（6）形成可复用 SQL 脚本，便于初始化数据库结构、菜单权限、触发器和视图。</w:t>
      </w:r>
    </w:p>
    <w:p>
      <w:pPr>
        <w:pStyle w:val="Heading2"/>
      </w:pPr>
      <w:r>
        <w:rPr>
          <w:rFonts w:ascii="Times New Roman" w:hAnsi="Times New Roman" w:eastAsia="黑体"/>
          <w:b/>
          <w:color w:val="1F4E79"/>
          <w:sz w:val="28"/>
        </w:rPr>
        <w:t>3.SQL Server数据库对象设计</w:t>
      </w:r>
    </w:p>
    <w:p>
      <w:pPr>
        <w:spacing w:line="324" w:lineRule="auto"/>
        <w:ind w:firstLine="420"/>
      </w:pPr>
      <w:r>
        <w:rPr>
          <w:rFonts w:ascii="Times New Roman" w:hAnsi="Times New Roman" w:eastAsia="宋体"/>
          <w:b w:val="0"/>
          <w:sz w:val="24"/>
        </w:rPr>
        <w:t>本项目实际数据库采用 MySQL 8。为贴合课程样板，本节仍按“视图、存储过程、触发器”的数据库对象设计思路展开，重点体现数据库层面对核心业务查询、库存扣减和设备状态联动的支持。</w:t>
      </w:r>
    </w:p>
    <w:p>
      <w:pPr>
        <w:pStyle w:val="Heading2"/>
      </w:pPr>
      <w:r>
        <w:rPr>
          <w:rFonts w:ascii="Times New Roman" w:hAnsi="Times New Roman" w:eastAsia="黑体"/>
          <w:b/>
          <w:color w:val="1F4E79"/>
          <w:sz w:val="28"/>
        </w:rPr>
        <w:t>1.2  用例图</w:t>
      </w:r>
    </w:p>
    <w:p>
      <w:pPr>
        <w:spacing w:line="324" w:lineRule="auto"/>
        <w:ind w:firstLine="420"/>
      </w:pPr>
      <w:r>
        <w:rPr>
          <w:rFonts w:ascii="Times New Roman" w:hAnsi="Times New Roman" w:eastAsia="宋体"/>
          <w:b w:val="0"/>
          <w:sz w:val="24"/>
        </w:rPr>
        <w:t>下图按样板用例图形式绘制，展示系统中学生、教师、实验室主任、设备管理员、耗材管理员、危化品管理员、维修人员、校准人员和系统管理员的主要用例及流程关系。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32000" cy="983302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ference_style_role_usecase_flow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32000" cy="983302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宋体"/>
          <w:b w:val="0"/>
          <w:sz w:val="22"/>
        </w:rPr>
        <w:t>图1 多角色用例流程说明图</w:t>
      </w:r>
    </w:p>
    <w:p>
      <w:pPr>
        <w:pStyle w:val="Heading2"/>
      </w:pPr>
      <w:r>
        <w:rPr>
          <w:rFonts w:ascii="Times New Roman" w:hAnsi="Times New Roman" w:eastAsia="黑体"/>
          <w:b/>
          <w:color w:val="1F4E79"/>
          <w:sz w:val="28"/>
        </w:rPr>
        <w:t>1.2  用例说明书</w:t>
      </w:r>
    </w:p>
    <w:p>
      <w:pPr>
        <w:spacing w:line="324" w:lineRule="auto"/>
      </w:pPr>
      <w:r>
        <w:rPr>
          <w:rFonts w:ascii="Times New Roman" w:hAnsi="Times New Roman" w:eastAsia="宋体"/>
          <w:b w:val="0"/>
          <w:sz w:val="24"/>
        </w:rPr>
        <w:t>表1. “设备借用与归还”用例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2"/>
        <w:gridCol w:w="4532"/>
      </w:tblGrid>
      <w:tr>
        <w:tc>
          <w:tcPr>
            <w:tcW w:type="dxa" w:w="4532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项目</w:t>
            </w:r>
          </w:p>
        </w:tc>
        <w:tc>
          <w:tcPr>
            <w:tcW w:type="dxa" w:w="4532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内容</w:t>
            </w:r>
          </w:p>
        </w:tc>
      </w:tr>
      <w:tr>
        <w:tc>
          <w:tcPr>
            <w:tcW w:type="dxa" w:w="4532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用例名称</w:t>
            </w:r>
          </w:p>
        </w:tc>
        <w:tc>
          <w:tcPr>
            <w:tcW w:type="dxa" w:w="4532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设备借用与归还</w:t>
            </w:r>
          </w:p>
        </w:tc>
      </w:tr>
      <w:tr>
        <w:tc>
          <w:tcPr>
            <w:tcW w:type="dxa" w:w="4532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参与者</w:t>
            </w:r>
          </w:p>
        </w:tc>
        <w:tc>
          <w:tcPr>
            <w:tcW w:type="dxa" w:w="4532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教师、学生、实验室主任、设备管理员</w:t>
            </w:r>
          </w:p>
        </w:tc>
      </w:tr>
      <w:tr>
        <w:tc>
          <w:tcPr>
            <w:tcW w:type="dxa" w:w="4532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前置条件</w:t>
            </w:r>
          </w:p>
        </w:tc>
        <w:tc>
          <w:tcPr>
            <w:tcW w:type="dxa" w:w="4532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借用人已登录；设备状态为可用；具备借用权限。</w:t>
            </w:r>
          </w:p>
        </w:tc>
      </w:tr>
      <w:tr>
        <w:tc>
          <w:tcPr>
            <w:tcW w:type="dxa" w:w="4532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后置条件</w:t>
            </w:r>
          </w:p>
        </w:tc>
        <w:tc>
          <w:tcPr>
            <w:tcW w:type="dxa" w:w="4532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借用申请生成，审批通过后设备状态更新为借出，归还后恢复为可用。</w:t>
            </w:r>
          </w:p>
        </w:tc>
      </w:tr>
      <w:tr>
        <w:tc>
          <w:tcPr>
            <w:tcW w:type="dxa" w:w="4532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基本事件流</w:t>
            </w:r>
          </w:p>
        </w:tc>
        <w:tc>
          <w:tcPr>
            <w:tcW w:type="dxa" w:w="4532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选择设备 → 填写用途和时间 → 系统校验设备状态 → 主任审批 → 设备管理员确认借出 → 归还验收。</w:t>
            </w:r>
          </w:p>
        </w:tc>
      </w:tr>
      <w:tr>
        <w:tc>
          <w:tcPr>
            <w:tcW w:type="dxa" w:w="4532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异常事件流</w:t>
            </w:r>
          </w:p>
        </w:tc>
        <w:tc>
          <w:tcPr>
            <w:tcW w:type="dxa" w:w="4532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设备不可用、时间不合法、审批拒绝、归还发现损坏时进入异常处理或维修流程。</w:t>
            </w:r>
          </w:p>
        </w:tc>
      </w:tr>
      <w:tr>
        <w:tc>
          <w:tcPr>
            <w:tcW w:type="dxa" w:w="4532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用例关系</w:t>
            </w:r>
          </w:p>
        </w:tc>
        <w:tc>
          <w:tcPr>
            <w:tcW w:type="dxa" w:w="4532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包含用户登录、权限校验、业务状态校验；扩展审计日志、通知提醒和报表统计。</w:t>
            </w:r>
          </w:p>
        </w:tc>
      </w:tr>
    </w:tbl>
    <w:p/>
    <w:p>
      <w:pPr>
        <w:spacing w:line="324" w:lineRule="auto"/>
      </w:pPr>
      <w:r>
        <w:rPr>
          <w:rFonts w:ascii="Times New Roman" w:hAnsi="Times New Roman" w:eastAsia="宋体"/>
          <w:b w:val="0"/>
          <w:sz w:val="24"/>
        </w:rPr>
        <w:t>表2. “耗材入库与出库”用例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2"/>
        <w:gridCol w:w="4532"/>
      </w:tblGrid>
      <w:tr>
        <w:tc>
          <w:tcPr>
            <w:tcW w:type="dxa" w:w="4532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项目</w:t>
            </w:r>
          </w:p>
        </w:tc>
        <w:tc>
          <w:tcPr>
            <w:tcW w:type="dxa" w:w="4532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内容</w:t>
            </w:r>
          </w:p>
        </w:tc>
      </w:tr>
      <w:tr>
        <w:tc>
          <w:tcPr>
            <w:tcW w:type="dxa" w:w="4532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用例名称</w:t>
            </w:r>
          </w:p>
        </w:tc>
        <w:tc>
          <w:tcPr>
            <w:tcW w:type="dxa" w:w="4532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耗材入库与出库</w:t>
            </w:r>
          </w:p>
        </w:tc>
      </w:tr>
      <w:tr>
        <w:tc>
          <w:tcPr>
            <w:tcW w:type="dxa" w:w="4532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参与者</w:t>
            </w:r>
          </w:p>
        </w:tc>
        <w:tc>
          <w:tcPr>
            <w:tcW w:type="dxa" w:w="4532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教师、学生、实验室主任、耗材管理员</w:t>
            </w:r>
          </w:p>
        </w:tc>
      </w:tr>
      <w:tr>
        <w:tc>
          <w:tcPr>
            <w:tcW w:type="dxa" w:w="4532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前置条件</w:t>
            </w:r>
          </w:p>
        </w:tc>
        <w:tc>
          <w:tcPr>
            <w:tcW w:type="dxa" w:w="4532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耗材分类和台账已维护；申请人具备申领权限；管理员具备入出库权限。</w:t>
            </w:r>
          </w:p>
        </w:tc>
      </w:tr>
      <w:tr>
        <w:tc>
          <w:tcPr>
            <w:tcW w:type="dxa" w:w="4532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后置条件</w:t>
            </w:r>
          </w:p>
        </w:tc>
        <w:tc>
          <w:tcPr>
            <w:tcW w:type="dxa" w:w="4532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入库生成批次库存；出库扣减库存；库存不足或临期触发预警。</w:t>
            </w:r>
          </w:p>
        </w:tc>
      </w:tr>
      <w:tr>
        <w:tc>
          <w:tcPr>
            <w:tcW w:type="dxa" w:w="4532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基本事件流</w:t>
            </w:r>
          </w:p>
        </w:tc>
        <w:tc>
          <w:tcPr>
            <w:tcW w:type="dxa" w:w="4532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耗材管理员登记入库 → 申请人提交申领 → 系统校验批次库存 → 主任审批 → 管理员确认出库。</w:t>
            </w:r>
          </w:p>
        </w:tc>
      </w:tr>
      <w:tr>
        <w:tc>
          <w:tcPr>
            <w:tcW w:type="dxa" w:w="4532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异常事件流</w:t>
            </w:r>
          </w:p>
        </w:tc>
        <w:tc>
          <w:tcPr>
            <w:tcW w:type="dxa" w:w="4532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数量为 0、库存不足、批次过期、审批拒绝时系统阻止出库或记录拒绝原因。</w:t>
            </w:r>
          </w:p>
        </w:tc>
      </w:tr>
      <w:tr>
        <w:tc>
          <w:tcPr>
            <w:tcW w:type="dxa" w:w="4532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用例关系</w:t>
            </w:r>
          </w:p>
        </w:tc>
        <w:tc>
          <w:tcPr>
            <w:tcW w:type="dxa" w:w="4532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包含用户登录、权限校验、业务状态校验；扩展审计日志、通知提醒和报表统计。</w:t>
            </w:r>
          </w:p>
        </w:tc>
      </w:tr>
    </w:tbl>
    <w:p/>
    <w:p>
      <w:pPr>
        <w:spacing w:line="324" w:lineRule="auto"/>
      </w:pPr>
      <w:r>
        <w:rPr>
          <w:rFonts w:ascii="Times New Roman" w:hAnsi="Times New Roman" w:eastAsia="宋体"/>
          <w:b w:val="0"/>
          <w:sz w:val="24"/>
        </w:rPr>
        <w:t>表3. “危化品使用”用例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2"/>
        <w:gridCol w:w="4532"/>
      </w:tblGrid>
      <w:tr>
        <w:tc>
          <w:tcPr>
            <w:tcW w:type="dxa" w:w="4532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项目</w:t>
            </w:r>
          </w:p>
        </w:tc>
        <w:tc>
          <w:tcPr>
            <w:tcW w:type="dxa" w:w="4532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内容</w:t>
            </w:r>
          </w:p>
        </w:tc>
      </w:tr>
      <w:tr>
        <w:tc>
          <w:tcPr>
            <w:tcW w:type="dxa" w:w="4532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用例名称</w:t>
            </w:r>
          </w:p>
        </w:tc>
        <w:tc>
          <w:tcPr>
            <w:tcW w:type="dxa" w:w="4532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危化品使用</w:t>
            </w:r>
          </w:p>
        </w:tc>
      </w:tr>
      <w:tr>
        <w:tc>
          <w:tcPr>
            <w:tcW w:type="dxa" w:w="4532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参与者</w:t>
            </w:r>
          </w:p>
        </w:tc>
        <w:tc>
          <w:tcPr>
            <w:tcW w:type="dxa" w:w="4532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教师、学生、实验室主任、危化品管理员</w:t>
            </w:r>
          </w:p>
        </w:tc>
      </w:tr>
      <w:tr>
        <w:tc>
          <w:tcPr>
            <w:tcW w:type="dxa" w:w="4532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前置条件</w:t>
            </w:r>
          </w:p>
        </w:tc>
        <w:tc>
          <w:tcPr>
            <w:tcW w:type="dxa" w:w="4532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危化品台账和库存批次已维护；申请人具备危化品申请权限；学生需绑定指导教师。</w:t>
            </w:r>
          </w:p>
        </w:tc>
      </w:tr>
      <w:tr>
        <w:tc>
          <w:tcPr>
            <w:tcW w:type="dxa" w:w="4532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后置条件</w:t>
            </w:r>
          </w:p>
        </w:tc>
        <w:tc>
          <w:tcPr>
            <w:tcW w:type="dxa" w:w="4532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系统保存领用、归还或废液处理记录，更新库存并保留审批人、操作人和复核人。</w:t>
            </w:r>
          </w:p>
        </w:tc>
      </w:tr>
      <w:tr>
        <w:tc>
          <w:tcPr>
            <w:tcW w:type="dxa" w:w="4532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基本事件流</w:t>
            </w:r>
          </w:p>
        </w:tc>
        <w:tc>
          <w:tcPr>
            <w:tcW w:type="dxa" w:w="4532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申请人选择危化品和批次 → 填写用途和数量 → 主任审批 → 管理员登记领用 → 双人复核 → 余量归还或废液处理。</w:t>
            </w:r>
          </w:p>
        </w:tc>
      </w:tr>
      <w:tr>
        <w:tc>
          <w:tcPr>
            <w:tcW w:type="dxa" w:w="4532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异常事件流</w:t>
            </w:r>
          </w:p>
        </w:tc>
        <w:tc>
          <w:tcPr>
            <w:tcW w:type="dxa" w:w="4532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库存不足、缺少复核人、安全资质不满足或数量非法时禁止完成领用。</w:t>
            </w:r>
          </w:p>
        </w:tc>
      </w:tr>
      <w:tr>
        <w:tc>
          <w:tcPr>
            <w:tcW w:type="dxa" w:w="4532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用例关系</w:t>
            </w:r>
          </w:p>
        </w:tc>
        <w:tc>
          <w:tcPr>
            <w:tcW w:type="dxa" w:w="4532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包含用户登录、权限校验、业务状态校验；扩展审计日志、通知提醒和报表统计。</w:t>
            </w:r>
          </w:p>
        </w:tc>
      </w:tr>
    </w:tbl>
    <w:p/>
    <w:p>
      <w:pPr>
        <w:spacing w:line="324" w:lineRule="auto"/>
      </w:pPr>
      <w:r>
        <w:rPr>
          <w:rFonts w:ascii="Times New Roman" w:hAnsi="Times New Roman" w:eastAsia="宋体"/>
          <w:b w:val="0"/>
          <w:sz w:val="24"/>
        </w:rPr>
        <w:t>表4. “设备维修”用例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2"/>
        <w:gridCol w:w="4532"/>
      </w:tblGrid>
      <w:tr>
        <w:tc>
          <w:tcPr>
            <w:tcW w:type="dxa" w:w="4532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项目</w:t>
            </w:r>
          </w:p>
        </w:tc>
        <w:tc>
          <w:tcPr>
            <w:tcW w:type="dxa" w:w="4532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内容</w:t>
            </w:r>
          </w:p>
        </w:tc>
      </w:tr>
      <w:tr>
        <w:tc>
          <w:tcPr>
            <w:tcW w:type="dxa" w:w="4532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用例名称</w:t>
            </w:r>
          </w:p>
        </w:tc>
        <w:tc>
          <w:tcPr>
            <w:tcW w:type="dxa" w:w="4532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设备维修</w:t>
            </w:r>
          </w:p>
        </w:tc>
      </w:tr>
      <w:tr>
        <w:tc>
          <w:tcPr>
            <w:tcW w:type="dxa" w:w="4532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参与者</w:t>
            </w:r>
          </w:p>
        </w:tc>
        <w:tc>
          <w:tcPr>
            <w:tcW w:type="dxa" w:w="4532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教师、学生、设备管理员、维修人员、实验室主任</w:t>
            </w:r>
          </w:p>
        </w:tc>
      </w:tr>
      <w:tr>
        <w:tc>
          <w:tcPr>
            <w:tcW w:type="dxa" w:w="4532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前置条件</w:t>
            </w:r>
          </w:p>
        </w:tc>
        <w:tc>
          <w:tcPr>
            <w:tcW w:type="dxa" w:w="4532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设备未报废；报修人已登录；设备台账存在。</w:t>
            </w:r>
          </w:p>
        </w:tc>
      </w:tr>
      <w:tr>
        <w:tc>
          <w:tcPr>
            <w:tcW w:type="dxa" w:w="4532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后置条件</w:t>
            </w:r>
          </w:p>
        </w:tc>
        <w:tc>
          <w:tcPr>
            <w:tcW w:type="dxa" w:w="4532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生成维修记录，维修中设备状态更新，维修完成后验收并恢复或停用。</w:t>
            </w:r>
          </w:p>
        </w:tc>
      </w:tr>
      <w:tr>
        <w:tc>
          <w:tcPr>
            <w:tcW w:type="dxa" w:w="4532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基本事件流</w:t>
            </w:r>
          </w:p>
        </w:tc>
        <w:tc>
          <w:tcPr>
            <w:tcW w:type="dxa" w:w="4532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报修人提交故障 → 设备管理员确认 → 派单给维修人员 → 记录过程和费用 → 主任验收。</w:t>
            </w:r>
          </w:p>
        </w:tc>
      </w:tr>
      <w:tr>
        <w:tc>
          <w:tcPr>
            <w:tcW w:type="dxa" w:w="4532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异常事件流</w:t>
            </w:r>
          </w:p>
        </w:tc>
        <w:tc>
          <w:tcPr>
            <w:tcW w:type="dxa" w:w="4532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设备已在维修中、结束时间早于开始时间、无法修复时进入异常流程。</w:t>
            </w:r>
          </w:p>
        </w:tc>
      </w:tr>
      <w:tr>
        <w:tc>
          <w:tcPr>
            <w:tcW w:type="dxa" w:w="4532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用例关系</w:t>
            </w:r>
          </w:p>
        </w:tc>
        <w:tc>
          <w:tcPr>
            <w:tcW w:type="dxa" w:w="4532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包含用户登录、权限校验、业务状态校验；扩展审计日志、通知提醒和报表统计。</w:t>
            </w:r>
          </w:p>
        </w:tc>
      </w:tr>
    </w:tbl>
    <w:p/>
    <w:p>
      <w:pPr>
        <w:spacing w:line="324" w:lineRule="auto"/>
      </w:pPr>
      <w:r>
        <w:rPr>
          <w:rFonts w:ascii="Times New Roman" w:hAnsi="Times New Roman" w:eastAsia="宋体"/>
          <w:b w:val="0"/>
          <w:sz w:val="24"/>
        </w:rPr>
        <w:t>表5. “设备校准”用例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2"/>
        <w:gridCol w:w="4532"/>
      </w:tblGrid>
      <w:tr>
        <w:tc>
          <w:tcPr>
            <w:tcW w:type="dxa" w:w="4532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项目</w:t>
            </w:r>
          </w:p>
        </w:tc>
        <w:tc>
          <w:tcPr>
            <w:tcW w:type="dxa" w:w="4532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内容</w:t>
            </w:r>
          </w:p>
        </w:tc>
      </w:tr>
      <w:tr>
        <w:tc>
          <w:tcPr>
            <w:tcW w:type="dxa" w:w="4532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用例名称</w:t>
            </w:r>
          </w:p>
        </w:tc>
        <w:tc>
          <w:tcPr>
            <w:tcW w:type="dxa" w:w="4532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设备校准</w:t>
            </w:r>
          </w:p>
        </w:tc>
      </w:tr>
      <w:tr>
        <w:tc>
          <w:tcPr>
            <w:tcW w:type="dxa" w:w="4532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参与者</w:t>
            </w:r>
          </w:p>
        </w:tc>
        <w:tc>
          <w:tcPr>
            <w:tcW w:type="dxa" w:w="4532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实验室主任、校准人员、设备管理员</w:t>
            </w:r>
          </w:p>
        </w:tc>
      </w:tr>
      <w:tr>
        <w:tc>
          <w:tcPr>
            <w:tcW w:type="dxa" w:w="4532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前置条件</w:t>
            </w:r>
          </w:p>
        </w:tc>
        <w:tc>
          <w:tcPr>
            <w:tcW w:type="dxa" w:w="4532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设备存在校准周期配置；校准人员或主任具备记录维护权限。</w:t>
            </w:r>
          </w:p>
        </w:tc>
      </w:tr>
      <w:tr>
        <w:tc>
          <w:tcPr>
            <w:tcW w:type="dxa" w:w="4532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后置条件</w:t>
            </w:r>
          </w:p>
        </w:tc>
        <w:tc>
          <w:tcPr>
            <w:tcW w:type="dxa" w:w="4532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生成校准记录，更新最近校准日期、下次校准日期和设备状态。</w:t>
            </w:r>
          </w:p>
        </w:tc>
      </w:tr>
      <w:tr>
        <w:tc>
          <w:tcPr>
            <w:tcW w:type="dxa" w:w="4532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基本事件流</w:t>
            </w:r>
          </w:p>
        </w:tc>
        <w:tc>
          <w:tcPr>
            <w:tcW w:type="dxa" w:w="4532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创建校准任务 → 校准人员登记证书编号、日期和结果 → 主任确认 → 系统更新设备台账。</w:t>
            </w:r>
          </w:p>
        </w:tc>
      </w:tr>
      <w:tr>
        <w:tc>
          <w:tcPr>
            <w:tcW w:type="dxa" w:w="4532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异常事件流</w:t>
            </w:r>
          </w:p>
        </w:tc>
        <w:tc>
          <w:tcPr>
            <w:tcW w:type="dxa" w:w="4532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证书编号重复、有效期早于校准日期或设备报废时禁止保存。</w:t>
            </w:r>
          </w:p>
        </w:tc>
      </w:tr>
      <w:tr>
        <w:tc>
          <w:tcPr>
            <w:tcW w:type="dxa" w:w="4532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用例关系</w:t>
            </w:r>
          </w:p>
        </w:tc>
        <w:tc>
          <w:tcPr>
            <w:tcW w:type="dxa" w:w="4532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包含用户登录、权限校验、业务状态校验；扩展审计日志、通知提醒和报表统计。</w:t>
            </w:r>
          </w:p>
        </w:tc>
      </w:tr>
    </w:tbl>
    <w:p/>
    <w:p>
      <w:pPr>
        <w:spacing w:line="324" w:lineRule="auto"/>
      </w:pPr>
      <w:r>
        <w:rPr>
          <w:rFonts w:ascii="Times New Roman" w:hAnsi="Times New Roman" w:eastAsia="宋体"/>
          <w:b w:val="0"/>
          <w:sz w:val="24"/>
        </w:rPr>
        <w:t>表6. “权限与审计管理”用例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2"/>
        <w:gridCol w:w="4532"/>
      </w:tblGrid>
      <w:tr>
        <w:tc>
          <w:tcPr>
            <w:tcW w:type="dxa" w:w="4532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项目</w:t>
            </w:r>
          </w:p>
        </w:tc>
        <w:tc>
          <w:tcPr>
            <w:tcW w:type="dxa" w:w="4532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内容</w:t>
            </w:r>
          </w:p>
        </w:tc>
      </w:tr>
      <w:tr>
        <w:tc>
          <w:tcPr>
            <w:tcW w:type="dxa" w:w="4532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用例名称</w:t>
            </w:r>
          </w:p>
        </w:tc>
        <w:tc>
          <w:tcPr>
            <w:tcW w:type="dxa" w:w="4532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权限与审计管理</w:t>
            </w:r>
          </w:p>
        </w:tc>
      </w:tr>
      <w:tr>
        <w:tc>
          <w:tcPr>
            <w:tcW w:type="dxa" w:w="4532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参与者</w:t>
            </w:r>
          </w:p>
        </w:tc>
        <w:tc>
          <w:tcPr>
            <w:tcW w:type="dxa" w:w="4532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系统管理员</w:t>
            </w:r>
          </w:p>
        </w:tc>
      </w:tr>
      <w:tr>
        <w:tc>
          <w:tcPr>
            <w:tcW w:type="dxa" w:w="4532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前置条件</w:t>
            </w:r>
          </w:p>
        </w:tc>
        <w:tc>
          <w:tcPr>
            <w:tcW w:type="dxa" w:w="4532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系统管理员已登录，具备用户、角色和菜单权限。</w:t>
            </w:r>
          </w:p>
        </w:tc>
      </w:tr>
      <w:tr>
        <w:tc>
          <w:tcPr>
            <w:tcW w:type="dxa" w:w="4532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后置条件</w:t>
            </w:r>
          </w:p>
        </w:tc>
        <w:tc>
          <w:tcPr>
            <w:tcW w:type="dxa" w:w="4532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用户角色和菜单权限配置生效，系统保留关键操作日志。</w:t>
            </w:r>
          </w:p>
        </w:tc>
      </w:tr>
      <w:tr>
        <w:tc>
          <w:tcPr>
            <w:tcW w:type="dxa" w:w="4532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基本事件流</w:t>
            </w:r>
          </w:p>
        </w:tc>
        <w:tc>
          <w:tcPr>
            <w:tcW w:type="dxa" w:w="4532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新增用户 → 分配角色 → 授权菜单和按钮 → 查看系统日志 → 必要时调整权限。</w:t>
            </w:r>
          </w:p>
        </w:tc>
      </w:tr>
      <w:tr>
        <w:tc>
          <w:tcPr>
            <w:tcW w:type="dxa" w:w="4532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异常事件流</w:t>
            </w:r>
          </w:p>
        </w:tc>
        <w:tc>
          <w:tcPr>
            <w:tcW w:type="dxa" w:w="4532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角色权限配置错误会导致访问受限，需通过审计日志定位问题并修正。</w:t>
            </w:r>
          </w:p>
        </w:tc>
      </w:tr>
      <w:tr>
        <w:tc>
          <w:tcPr>
            <w:tcW w:type="dxa" w:w="4532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用例关系</w:t>
            </w:r>
          </w:p>
        </w:tc>
        <w:tc>
          <w:tcPr>
            <w:tcW w:type="dxa" w:w="4532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包含用户登录、权限校验、业务状态校验；扩展审计日志、通知提醒和报表统计。</w:t>
            </w:r>
          </w:p>
        </w:tc>
      </w:tr>
    </w:tbl>
    <w:p/>
    <w:p>
      <w:pPr>
        <w:pStyle w:val="Heading2"/>
      </w:pPr>
      <w:r>
        <w:rPr>
          <w:rFonts w:ascii="Times New Roman" w:hAnsi="Times New Roman" w:eastAsia="黑体"/>
          <w:b/>
          <w:color w:val="1F4E79"/>
          <w:sz w:val="28"/>
        </w:rPr>
        <w:t>2.1  实体提取与关系确定</w:t>
      </w:r>
    </w:p>
    <w:p>
      <w:pPr>
        <w:spacing w:line="324" w:lineRule="auto"/>
      </w:pPr>
      <w:r>
        <w:rPr>
          <w:rFonts w:ascii="Times New Roman" w:hAnsi="Times New Roman" w:eastAsia="宋体"/>
          <w:b w:val="0"/>
          <w:sz w:val="24"/>
        </w:rPr>
        <w:t>表2.1 实体清单表：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3022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实体</w:t>
            </w:r>
          </w:p>
        </w:tc>
        <w:tc>
          <w:tcPr>
            <w:tcW w:type="dxa" w:w="3022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说明</w:t>
            </w:r>
          </w:p>
        </w:tc>
        <w:tc>
          <w:tcPr>
            <w:tcW w:type="dxa" w:w="3022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主要属性</w:t>
            </w:r>
          </w:p>
        </w:tc>
      </w:tr>
      <w:tr>
        <w:tc>
          <w:tcPr>
            <w:tcW w:type="dxa" w:w="3022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用户 user</w:t>
            </w:r>
          </w:p>
        </w:tc>
        <w:tc>
          <w:tcPr>
            <w:tcW w:type="dxa" w:w="3022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系统登录与业务责任主体</w:t>
            </w:r>
          </w:p>
        </w:tc>
        <w:tc>
          <w:tcPr>
            <w:tcW w:type="dxa" w:w="3022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id、laboratory_id、username、real_name、user_type、status</w:t>
            </w:r>
          </w:p>
        </w:tc>
      </w:tr>
      <w:tr>
        <w:tc>
          <w:tcPr>
            <w:tcW w:type="dxa" w:w="3022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角色 role</w:t>
            </w:r>
          </w:p>
        </w:tc>
        <w:tc>
          <w:tcPr>
            <w:tcW w:type="dxa" w:w="3022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权限身份定义</w:t>
            </w:r>
          </w:p>
        </w:tc>
        <w:tc>
          <w:tcPr>
            <w:tcW w:type="dxa" w:w="3022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id、role_code、role_name、status</w:t>
            </w:r>
          </w:p>
        </w:tc>
      </w:tr>
      <w:tr>
        <w:tc>
          <w:tcPr>
            <w:tcW w:type="dxa" w:w="3022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菜单 menu</w:t>
            </w:r>
          </w:p>
        </w:tc>
        <w:tc>
          <w:tcPr>
            <w:tcW w:type="dxa" w:w="3022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菜单和按钮权限</w:t>
            </w:r>
          </w:p>
        </w:tc>
        <w:tc>
          <w:tcPr>
            <w:tcW w:type="dxa" w:w="3022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id、parent_id、menu_code、menu_name、menu_type、path</w:t>
            </w:r>
          </w:p>
        </w:tc>
      </w:tr>
      <w:tr>
        <w:tc>
          <w:tcPr>
            <w:tcW w:type="dxa" w:w="3022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实验室 laboratory</w:t>
            </w:r>
          </w:p>
        </w:tc>
        <w:tc>
          <w:tcPr>
            <w:tcW w:type="dxa" w:w="3022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实验室组织与安全信息</w:t>
            </w:r>
          </w:p>
        </w:tc>
        <w:tc>
          <w:tcPr>
            <w:tcW w:type="dxa" w:w="3022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id、director_user_id、laboratory_code、laboratory_name、safety_level</w:t>
            </w:r>
          </w:p>
        </w:tc>
      </w:tr>
      <w:tr>
        <w:tc>
          <w:tcPr>
            <w:tcW w:type="dxa" w:w="3022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设备 equipment</w:t>
            </w:r>
          </w:p>
        </w:tc>
        <w:tc>
          <w:tcPr>
            <w:tcW w:type="dxa" w:w="3022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设备资产台账</w:t>
            </w:r>
          </w:p>
        </w:tc>
        <w:tc>
          <w:tcPr>
            <w:tcW w:type="dxa" w:w="3022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id、laboratory_id、category_id、equipment_code、equipment_name、status</w:t>
            </w:r>
          </w:p>
        </w:tc>
      </w:tr>
      <w:tr>
        <w:tc>
          <w:tcPr>
            <w:tcW w:type="dxa" w:w="3022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耗材 consumable</w:t>
            </w:r>
          </w:p>
        </w:tc>
        <w:tc>
          <w:tcPr>
            <w:tcW w:type="dxa" w:w="3022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耗材台账</w:t>
            </w:r>
          </w:p>
        </w:tc>
        <w:tc>
          <w:tcPr>
            <w:tcW w:type="dxa" w:w="3022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id、laboratory_id、category_id、consumable_code、name、safe_stock</w:t>
            </w:r>
          </w:p>
        </w:tc>
      </w:tr>
      <w:tr>
        <w:tc>
          <w:tcPr>
            <w:tcW w:type="dxa" w:w="3022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危化品 hazardous_material</w:t>
            </w:r>
          </w:p>
        </w:tc>
        <w:tc>
          <w:tcPr>
            <w:tcW w:type="dxa" w:w="3022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危化品安全台账</w:t>
            </w:r>
          </w:p>
        </w:tc>
        <w:tc>
          <w:tcPr>
            <w:tcW w:type="dxa" w:w="3022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id、laboratory_id、hazardous_code、CAS_no、danger_class、storage_location</w:t>
            </w:r>
          </w:p>
        </w:tc>
      </w:tr>
      <w:tr>
        <w:tc>
          <w:tcPr>
            <w:tcW w:type="dxa" w:w="3022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库存 inventory</w:t>
            </w:r>
          </w:p>
        </w:tc>
        <w:tc>
          <w:tcPr>
            <w:tcW w:type="dxa" w:w="3022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耗材和危化品批次库存</w:t>
            </w:r>
          </w:p>
        </w:tc>
        <w:tc>
          <w:tcPr>
            <w:tcW w:type="dxa" w:w="3022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id、laboratory_id、item_type、item_id、batch_no、quantity、warning_status</w:t>
            </w:r>
          </w:p>
        </w:tc>
      </w:tr>
      <w:tr>
        <w:tc>
          <w:tcPr>
            <w:tcW w:type="dxa" w:w="3022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设备借用 equipment_borrow</w:t>
            </w:r>
          </w:p>
        </w:tc>
        <w:tc>
          <w:tcPr>
            <w:tcW w:type="dxa" w:w="3022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设备借还流水</w:t>
            </w:r>
          </w:p>
        </w:tc>
        <w:tc>
          <w:tcPr>
            <w:tcW w:type="dxa" w:w="3022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id、equipment_id、borrower_user_id、approver_user_id、borrow_status</w:t>
            </w:r>
          </w:p>
        </w:tc>
      </w:tr>
      <w:tr>
        <w:tc>
          <w:tcPr>
            <w:tcW w:type="dxa" w:w="3022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设备维修 equipment_repair</w:t>
            </w:r>
          </w:p>
        </w:tc>
        <w:tc>
          <w:tcPr>
            <w:tcW w:type="dxa" w:w="3022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维修处理记录</w:t>
            </w:r>
          </w:p>
        </w:tc>
        <w:tc>
          <w:tcPr>
            <w:tcW w:type="dxa" w:w="3022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id、equipment_id、reporter_user_id、repair_user_id、repair_status</w:t>
            </w:r>
          </w:p>
        </w:tc>
      </w:tr>
      <w:tr>
        <w:tc>
          <w:tcPr>
            <w:tcW w:type="dxa" w:w="3022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设备校准 equipment_calibration</w:t>
            </w:r>
          </w:p>
        </w:tc>
        <w:tc>
          <w:tcPr>
            <w:tcW w:type="dxa" w:w="3022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校准证书与结果</w:t>
            </w:r>
          </w:p>
        </w:tc>
        <w:tc>
          <w:tcPr>
            <w:tcW w:type="dxa" w:w="3022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id、equipment_id、calibration_user_id、certificate_no、valid_until</w:t>
            </w:r>
          </w:p>
        </w:tc>
      </w:tr>
      <w:tr>
        <w:tc>
          <w:tcPr>
            <w:tcW w:type="dxa" w:w="3022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耗材入库 consumable_inbound</w:t>
            </w:r>
          </w:p>
        </w:tc>
        <w:tc>
          <w:tcPr>
            <w:tcW w:type="dxa" w:w="3022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耗材采购入库记录</w:t>
            </w:r>
          </w:p>
        </w:tc>
        <w:tc>
          <w:tcPr>
            <w:tcW w:type="dxa" w:w="3022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id、consumable_id、operator_user_id、batch_no、quantity</w:t>
            </w:r>
          </w:p>
        </w:tc>
      </w:tr>
      <w:tr>
        <w:tc>
          <w:tcPr>
            <w:tcW w:type="dxa" w:w="3022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耗材出库 consumable_outbound</w:t>
            </w:r>
          </w:p>
        </w:tc>
        <w:tc>
          <w:tcPr>
            <w:tcW w:type="dxa" w:w="3022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耗材申领和出库记录</w:t>
            </w:r>
          </w:p>
        </w:tc>
        <w:tc>
          <w:tcPr>
            <w:tcW w:type="dxa" w:w="3022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id、consumable_id、applicant_user_id、approver_user_id、operator_user_id</w:t>
            </w:r>
          </w:p>
        </w:tc>
      </w:tr>
      <w:tr>
        <w:tc>
          <w:tcPr>
            <w:tcW w:type="dxa" w:w="3022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危化品使用 hazardous_usage</w:t>
            </w:r>
          </w:p>
        </w:tc>
        <w:tc>
          <w:tcPr>
            <w:tcW w:type="dxa" w:w="3022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危化品领用、归还、废液处理</w:t>
            </w:r>
          </w:p>
        </w:tc>
        <w:tc>
          <w:tcPr>
            <w:tcW w:type="dxa" w:w="3022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id、hazardous_material_id、applicant_user_id、approver_user_id、operator_user_id</w:t>
            </w:r>
          </w:p>
        </w:tc>
      </w:tr>
      <w:tr>
        <w:tc>
          <w:tcPr>
            <w:tcW w:type="dxa" w:w="3022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系统日志 system_log</w:t>
            </w:r>
          </w:p>
        </w:tc>
        <w:tc>
          <w:tcPr>
            <w:tcW w:type="dxa" w:w="3022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关键操作审计</w:t>
            </w:r>
          </w:p>
        </w:tc>
        <w:tc>
          <w:tcPr>
            <w:tcW w:type="dxa" w:w="3022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id、user_id、module_name、operation_type、operation_time</w:t>
            </w:r>
          </w:p>
        </w:tc>
      </w:tr>
    </w:tbl>
    <w:p/>
    <w:p>
      <w:pPr>
        <w:spacing w:line="324" w:lineRule="auto"/>
      </w:pPr>
      <w:r>
        <w:rPr>
          <w:rFonts w:ascii="Times New Roman" w:hAnsi="Times New Roman" w:eastAsia="宋体"/>
          <w:b w:val="0"/>
          <w:sz w:val="24"/>
        </w:rPr>
        <w:t>表2.2 实体关系表：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13"/>
        <w:gridCol w:w="1813"/>
        <w:gridCol w:w="1813"/>
        <w:gridCol w:w="1813"/>
        <w:gridCol w:w="1813"/>
      </w:tblGrid>
      <w:tr>
        <w:tc>
          <w:tcPr>
            <w:tcW w:type="dxa" w:w="1813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实体 A</w:t>
            </w:r>
          </w:p>
        </w:tc>
        <w:tc>
          <w:tcPr>
            <w:tcW w:type="dxa" w:w="1813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实体 B</w:t>
            </w:r>
          </w:p>
        </w:tc>
        <w:tc>
          <w:tcPr>
            <w:tcW w:type="dxa" w:w="1813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联系</w:t>
            </w:r>
          </w:p>
        </w:tc>
        <w:tc>
          <w:tcPr>
            <w:tcW w:type="dxa" w:w="1813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基数</w:t>
            </w:r>
          </w:p>
        </w:tc>
        <w:tc>
          <w:tcPr>
            <w:tcW w:type="dxa" w:w="1813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实现方式</w:t>
            </w:r>
          </w:p>
        </w:tc>
      </w:tr>
      <w:tr>
        <w:tc>
          <w:tcPr>
            <w:tcW w:type="dxa" w:w="1813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用户</w:t>
            </w:r>
          </w:p>
        </w:tc>
        <w:tc>
          <w:tcPr>
            <w:tcW w:type="dxa" w:w="1813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角色</w:t>
            </w:r>
          </w:p>
        </w:tc>
        <w:tc>
          <w:tcPr>
            <w:tcW w:type="dxa" w:w="1813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拥有/被分配</w:t>
            </w:r>
          </w:p>
        </w:tc>
        <w:tc>
          <w:tcPr>
            <w:tcW w:type="dxa" w:w="1813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M:N</w:t>
            </w:r>
          </w:p>
        </w:tc>
        <w:tc>
          <w:tcPr>
            <w:tcW w:type="dxa" w:w="1813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user_role 中间表</w:t>
            </w:r>
          </w:p>
        </w:tc>
      </w:tr>
      <w:tr>
        <w:tc>
          <w:tcPr>
            <w:tcW w:type="dxa" w:w="1813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角色</w:t>
            </w:r>
          </w:p>
        </w:tc>
        <w:tc>
          <w:tcPr>
            <w:tcW w:type="dxa" w:w="1813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菜单</w:t>
            </w:r>
          </w:p>
        </w:tc>
        <w:tc>
          <w:tcPr>
            <w:tcW w:type="dxa" w:w="1813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授权</w:t>
            </w:r>
          </w:p>
        </w:tc>
        <w:tc>
          <w:tcPr>
            <w:tcW w:type="dxa" w:w="1813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M:N</w:t>
            </w:r>
          </w:p>
        </w:tc>
        <w:tc>
          <w:tcPr>
            <w:tcW w:type="dxa" w:w="1813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role_menu 中间表</w:t>
            </w:r>
          </w:p>
        </w:tc>
      </w:tr>
      <w:tr>
        <w:tc>
          <w:tcPr>
            <w:tcW w:type="dxa" w:w="1813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实验室</w:t>
            </w:r>
          </w:p>
        </w:tc>
        <w:tc>
          <w:tcPr>
            <w:tcW w:type="dxa" w:w="1813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用户</w:t>
            </w:r>
          </w:p>
        </w:tc>
        <w:tc>
          <w:tcPr>
            <w:tcW w:type="dxa" w:w="1813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包含</w:t>
            </w:r>
          </w:p>
        </w:tc>
        <w:tc>
          <w:tcPr>
            <w:tcW w:type="dxa" w:w="1813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1:N</w:t>
            </w:r>
          </w:p>
        </w:tc>
        <w:tc>
          <w:tcPr>
            <w:tcW w:type="dxa" w:w="1813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user.laboratory_id</w:t>
            </w:r>
          </w:p>
        </w:tc>
      </w:tr>
      <w:tr>
        <w:tc>
          <w:tcPr>
            <w:tcW w:type="dxa" w:w="1813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实验室</w:t>
            </w:r>
          </w:p>
        </w:tc>
        <w:tc>
          <w:tcPr>
            <w:tcW w:type="dxa" w:w="1813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设备/耗材/危化品</w:t>
            </w:r>
          </w:p>
        </w:tc>
        <w:tc>
          <w:tcPr>
            <w:tcW w:type="dxa" w:w="1813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拥有</w:t>
            </w:r>
          </w:p>
        </w:tc>
        <w:tc>
          <w:tcPr>
            <w:tcW w:type="dxa" w:w="1813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1:N</w:t>
            </w:r>
          </w:p>
        </w:tc>
        <w:tc>
          <w:tcPr>
            <w:tcW w:type="dxa" w:w="1813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laboratory_id 外键</w:t>
            </w:r>
          </w:p>
        </w:tc>
      </w:tr>
      <w:tr>
        <w:tc>
          <w:tcPr>
            <w:tcW w:type="dxa" w:w="1813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设备</w:t>
            </w:r>
          </w:p>
        </w:tc>
        <w:tc>
          <w:tcPr>
            <w:tcW w:type="dxa" w:w="1813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设备借用/维修/校准</w:t>
            </w:r>
          </w:p>
        </w:tc>
        <w:tc>
          <w:tcPr>
            <w:tcW w:type="dxa" w:w="1813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产生业务记录</w:t>
            </w:r>
          </w:p>
        </w:tc>
        <w:tc>
          <w:tcPr>
            <w:tcW w:type="dxa" w:w="1813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1:N</w:t>
            </w:r>
          </w:p>
        </w:tc>
        <w:tc>
          <w:tcPr>
            <w:tcW w:type="dxa" w:w="1813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equipment_id 外键</w:t>
            </w:r>
          </w:p>
        </w:tc>
      </w:tr>
      <w:tr>
        <w:tc>
          <w:tcPr>
            <w:tcW w:type="dxa" w:w="1813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耗材</w:t>
            </w:r>
          </w:p>
        </w:tc>
        <w:tc>
          <w:tcPr>
            <w:tcW w:type="dxa" w:w="1813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耗材入库/耗材出库</w:t>
            </w:r>
          </w:p>
        </w:tc>
        <w:tc>
          <w:tcPr>
            <w:tcW w:type="dxa" w:w="1813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产生出入库记录</w:t>
            </w:r>
          </w:p>
        </w:tc>
        <w:tc>
          <w:tcPr>
            <w:tcW w:type="dxa" w:w="1813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1:N</w:t>
            </w:r>
          </w:p>
        </w:tc>
        <w:tc>
          <w:tcPr>
            <w:tcW w:type="dxa" w:w="1813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consumable_id 外键</w:t>
            </w:r>
          </w:p>
        </w:tc>
      </w:tr>
      <w:tr>
        <w:tc>
          <w:tcPr>
            <w:tcW w:type="dxa" w:w="1813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危化品</w:t>
            </w:r>
          </w:p>
        </w:tc>
        <w:tc>
          <w:tcPr>
            <w:tcW w:type="dxa" w:w="1813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危化品使用</w:t>
            </w:r>
          </w:p>
        </w:tc>
        <w:tc>
          <w:tcPr>
            <w:tcW w:type="dxa" w:w="1813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产生使用记录</w:t>
            </w:r>
          </w:p>
        </w:tc>
        <w:tc>
          <w:tcPr>
            <w:tcW w:type="dxa" w:w="1813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1:N</w:t>
            </w:r>
          </w:p>
        </w:tc>
        <w:tc>
          <w:tcPr>
            <w:tcW w:type="dxa" w:w="1813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hazardous_material_id 外键</w:t>
            </w:r>
          </w:p>
        </w:tc>
      </w:tr>
      <w:tr>
        <w:tc>
          <w:tcPr>
            <w:tcW w:type="dxa" w:w="1813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耗材/危化品</w:t>
            </w:r>
          </w:p>
        </w:tc>
        <w:tc>
          <w:tcPr>
            <w:tcW w:type="dxa" w:w="1813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库存</w:t>
            </w:r>
          </w:p>
        </w:tc>
        <w:tc>
          <w:tcPr>
            <w:tcW w:type="dxa" w:w="1813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形成批次库存</w:t>
            </w:r>
          </w:p>
        </w:tc>
        <w:tc>
          <w:tcPr>
            <w:tcW w:type="dxa" w:w="1813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1:N</w:t>
            </w:r>
          </w:p>
        </w:tc>
        <w:tc>
          <w:tcPr>
            <w:tcW w:type="dxa" w:w="1813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item_type + item_id</w:t>
            </w:r>
          </w:p>
        </w:tc>
      </w:tr>
      <w:tr>
        <w:tc>
          <w:tcPr>
            <w:tcW w:type="dxa" w:w="1813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用户</w:t>
            </w:r>
          </w:p>
        </w:tc>
        <w:tc>
          <w:tcPr>
            <w:tcW w:type="dxa" w:w="1813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系统日志</w:t>
            </w:r>
          </w:p>
        </w:tc>
        <w:tc>
          <w:tcPr>
            <w:tcW w:type="dxa" w:w="1813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产生日志</w:t>
            </w:r>
          </w:p>
        </w:tc>
        <w:tc>
          <w:tcPr>
            <w:tcW w:type="dxa" w:w="1813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1:N</w:t>
            </w:r>
          </w:p>
        </w:tc>
        <w:tc>
          <w:tcPr>
            <w:tcW w:type="dxa" w:w="1813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system_log.user_id</w:t>
            </w:r>
          </w:p>
        </w:tc>
      </w:tr>
    </w:tbl>
    <w:p/>
    <w:p>
      <w:pPr>
        <w:spacing w:line="324" w:lineRule="auto"/>
      </w:pPr>
      <w:r>
        <w:rPr>
          <w:rFonts w:ascii="Times New Roman" w:hAnsi="Times New Roman" w:eastAsia="宋体"/>
          <w:b w:val="0"/>
          <w:sz w:val="24"/>
        </w:rPr>
        <w:t>统计汇总：核心实体 17 类；一对多关系覆盖实验室、资产、库存和业务流水；多对多关系主要体现在用户-角色、角色-菜单两组权限关系。</w:t>
      </w:r>
    </w:p>
    <w:p>
      <w:pPr>
        <w:pStyle w:val="Heading2"/>
      </w:pPr>
      <w:r>
        <w:rPr>
          <w:rFonts w:ascii="Times New Roman" w:hAnsi="Times New Roman" w:eastAsia="黑体"/>
          <w:b/>
          <w:color w:val="1F4E79"/>
          <w:sz w:val="28"/>
        </w:rPr>
        <w:t>2.2  ER 图与基本表定义</w:t>
      </w:r>
    </w:p>
    <w:p>
      <w:pPr>
        <w:spacing w:line="324" w:lineRule="auto"/>
      </w:pPr>
      <w:r>
        <w:rPr>
          <w:rFonts w:ascii="Times New Roman" w:hAnsi="Times New Roman" w:eastAsia="宋体"/>
          <w:b w:val="0"/>
          <w:sz w:val="24"/>
        </w:rPr>
        <w:t>E-R图：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376961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ystem_er_diagram_chines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76961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宋体"/>
          <w:b w:val="0"/>
          <w:sz w:val="22"/>
        </w:rPr>
        <w:t>图2 系统总体 E-R 图（Chen 模型）</w:t>
      </w:r>
    </w:p>
    <w:p>
      <w:pPr>
        <w:spacing w:line="324" w:lineRule="auto"/>
      </w:pPr>
      <w:r>
        <w:rPr>
          <w:rFonts w:ascii="Times New Roman" w:hAnsi="Times New Roman" w:eastAsia="宋体"/>
          <w:b w:val="0"/>
          <w:sz w:val="24"/>
        </w:rPr>
        <w:t>各基础表定义如下：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2"/>
        <w:gridCol w:w="4532"/>
      </w:tblGrid>
      <w:tr>
        <w:tc>
          <w:tcPr>
            <w:tcW w:type="dxa" w:w="4532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表名</w:t>
            </w:r>
          </w:p>
        </w:tc>
        <w:tc>
          <w:tcPr>
            <w:tcW w:type="dxa" w:w="4532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字段定义摘要</w:t>
            </w:r>
          </w:p>
        </w:tc>
      </w:tr>
      <w:tr>
        <w:tc>
          <w:tcPr>
            <w:tcW w:type="dxa" w:w="4532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2.3 用户（user）</w:t>
            </w:r>
          </w:p>
        </w:tc>
        <w:tc>
          <w:tcPr>
            <w:tcW w:type="dxa" w:w="4532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id BIGINT PK；laboratory_id BIGINT FK；username VARCHAR(50) UK；password_hash VARCHAR(255)；real_name VARCHAR(50)；user_type TINYINT；status TINYINT</w:t>
            </w:r>
          </w:p>
        </w:tc>
      </w:tr>
      <w:tr>
        <w:tc>
          <w:tcPr>
            <w:tcW w:type="dxa" w:w="4532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2.4 角色（role）</w:t>
            </w:r>
          </w:p>
        </w:tc>
        <w:tc>
          <w:tcPr>
            <w:tcW w:type="dxa" w:w="4532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id BIGINT PK；role_code VARCHAR(50) UK；role_name VARCHAR(50)；description VARCHAR(255)；status TINYINT</w:t>
            </w:r>
          </w:p>
        </w:tc>
      </w:tr>
      <w:tr>
        <w:tc>
          <w:tcPr>
            <w:tcW w:type="dxa" w:w="4532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2.5 菜单（menu）</w:t>
            </w:r>
          </w:p>
        </w:tc>
        <w:tc>
          <w:tcPr>
            <w:tcW w:type="dxa" w:w="4532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id BIGINT PK；parent_id BIGINT FK；menu_code VARCHAR(100) UK；menu_name VARCHAR(100)；path VARCHAR(255)；menu_type TINYINT</w:t>
            </w:r>
          </w:p>
        </w:tc>
      </w:tr>
      <w:tr>
        <w:tc>
          <w:tcPr>
            <w:tcW w:type="dxa" w:w="4532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2.6 实验室（laboratory）</w:t>
            </w:r>
          </w:p>
        </w:tc>
        <w:tc>
          <w:tcPr>
            <w:tcW w:type="dxa" w:w="4532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id BIGINT PK；director_user_id BIGINT FK；laboratory_code VARCHAR(50) UK；laboratory_name VARCHAR(100)；location VARCHAR(100)；safety_level TINYINT</w:t>
            </w:r>
          </w:p>
        </w:tc>
      </w:tr>
      <w:tr>
        <w:tc>
          <w:tcPr>
            <w:tcW w:type="dxa" w:w="4532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2.7 设备（equipment）</w:t>
            </w:r>
          </w:p>
        </w:tc>
        <w:tc>
          <w:tcPr>
            <w:tcW w:type="dxa" w:w="4532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id BIGINT PK；laboratory_id BIGINT FK；category_id BIGINT FK；equipment_code VARCHAR(50) UK；equipment_name VARCHAR(100)；status TINYINT；calibration_cycle_days INT</w:t>
            </w:r>
          </w:p>
        </w:tc>
      </w:tr>
      <w:tr>
        <w:tc>
          <w:tcPr>
            <w:tcW w:type="dxa" w:w="4532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2.8 耗材（consumable）</w:t>
            </w:r>
          </w:p>
        </w:tc>
        <w:tc>
          <w:tcPr>
            <w:tcW w:type="dxa" w:w="4532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id BIGINT PK；laboratory_id BIGINT FK；category_id BIGINT FK；consumable_code VARCHAR(50) UK；name VARCHAR(100)；unit VARCHAR(20)；safe_stock DECIMAL</w:t>
            </w:r>
          </w:p>
        </w:tc>
      </w:tr>
      <w:tr>
        <w:tc>
          <w:tcPr>
            <w:tcW w:type="dxa" w:w="4532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2.9 危化品（hazardous_material）</w:t>
            </w:r>
          </w:p>
        </w:tc>
        <w:tc>
          <w:tcPr>
            <w:tcW w:type="dxa" w:w="4532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id BIGINT PK；laboratory_id BIGINT FK；hazardous_code VARCHAR(50) UK；CAS_no VARCHAR(50)；danger_class VARCHAR(50)；storage_location VARCHAR(100)</w:t>
            </w:r>
          </w:p>
        </w:tc>
      </w:tr>
      <w:tr>
        <w:tc>
          <w:tcPr>
            <w:tcW w:type="dxa" w:w="4532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2.10 库存（inventory）</w:t>
            </w:r>
          </w:p>
        </w:tc>
        <w:tc>
          <w:tcPr>
            <w:tcW w:type="dxa" w:w="4532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id BIGINT PK；laboratory_id BIGINT FK；item_type TINYINT；item_id BIGINT；batch_no VARCHAR(50)；quantity DECIMAL；expiry_date DATE；warning_status TINYINT</w:t>
            </w:r>
          </w:p>
        </w:tc>
      </w:tr>
      <w:tr>
        <w:tc>
          <w:tcPr>
            <w:tcW w:type="dxa" w:w="4532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2.11 设备借用（equipment_borrow）</w:t>
            </w:r>
          </w:p>
        </w:tc>
        <w:tc>
          <w:tcPr>
            <w:tcW w:type="dxa" w:w="4532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id BIGINT PK；equipment_id BIGINT FK；borrower_user_id BIGINT FK；approver_user_id BIGINT FK；borrow_time DATETIME；due_date DATETIME；borrow_status TINYINT</w:t>
            </w:r>
          </w:p>
        </w:tc>
      </w:tr>
      <w:tr>
        <w:tc>
          <w:tcPr>
            <w:tcW w:type="dxa" w:w="4532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2.12 设备维修（equipment_repair）</w:t>
            </w:r>
          </w:p>
        </w:tc>
        <w:tc>
          <w:tcPr>
            <w:tcW w:type="dxa" w:w="4532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id BIGINT PK；equipment_id BIGINT FK；reporter_user_id BIGINT FK；repair_user_id BIGINT FK；repair_status TINYINT；repair_cost DECIMAL</w:t>
            </w:r>
          </w:p>
        </w:tc>
      </w:tr>
      <w:tr>
        <w:tc>
          <w:tcPr>
            <w:tcW w:type="dxa" w:w="4532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2.13 设备校准（equipment_calibration）</w:t>
            </w:r>
          </w:p>
        </w:tc>
        <w:tc>
          <w:tcPr>
            <w:tcW w:type="dxa" w:w="4532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id BIGINT PK；equipment_id BIGINT FK；calibration_user_id BIGINT FK；certificate_no VARCHAR(100) UK；calibration_date DATE；valid_until DATE</w:t>
            </w:r>
          </w:p>
        </w:tc>
      </w:tr>
      <w:tr>
        <w:tc>
          <w:tcPr>
            <w:tcW w:type="dxa" w:w="4532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2.14 耗材入库（consumable_inbound）</w:t>
            </w:r>
          </w:p>
        </w:tc>
        <w:tc>
          <w:tcPr>
            <w:tcW w:type="dxa" w:w="4532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id BIGINT PK；consumable_id BIGINT FK；operator_user_id BIGINT FK；batch_no VARCHAR(50)；quantity DECIMAL；unit_price DECIMAL</w:t>
            </w:r>
          </w:p>
        </w:tc>
      </w:tr>
      <w:tr>
        <w:tc>
          <w:tcPr>
            <w:tcW w:type="dxa" w:w="4532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2.15 耗材出库（consumable_outbound）</w:t>
            </w:r>
          </w:p>
        </w:tc>
        <w:tc>
          <w:tcPr>
            <w:tcW w:type="dxa" w:w="4532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id BIGINT PK；consumable_id BIGINT FK；applicant_user_id BIGINT FK；approver_user_id BIGINT FK；operator_user_id BIGINT FK；quantity DECIMAL</w:t>
            </w:r>
          </w:p>
        </w:tc>
      </w:tr>
      <w:tr>
        <w:tc>
          <w:tcPr>
            <w:tcW w:type="dxa" w:w="4532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2.16 危化品使用（hazardous_usage）</w:t>
            </w:r>
          </w:p>
        </w:tc>
        <w:tc>
          <w:tcPr>
            <w:tcW w:type="dxa" w:w="4532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id BIGINT PK；hazardous_material_id BIGINT FK；applicant_user_id BIGINT FK；approver_user_id BIGINT FK；operator_user_id BIGINT FK；action_type TINYINT；quantity DECIMAL</w:t>
            </w:r>
          </w:p>
        </w:tc>
      </w:tr>
      <w:tr>
        <w:tc>
          <w:tcPr>
            <w:tcW w:type="dxa" w:w="4532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2.17 系统日志（system_log）</w:t>
            </w:r>
          </w:p>
        </w:tc>
        <w:tc>
          <w:tcPr>
            <w:tcW w:type="dxa" w:w="4532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id BIGINT PK；user_id BIGINT FK；module_name VARCHAR(100)；operation_type VARCHAR(50)；business_key VARCHAR(100)；operation_time DATETIME</w:t>
            </w:r>
          </w:p>
        </w:tc>
      </w:tr>
    </w:tbl>
    <w:p/>
    <w:p>
      <w:pPr>
        <w:pStyle w:val="Heading2"/>
      </w:pPr>
      <w:r>
        <w:rPr>
          <w:rFonts w:ascii="Times New Roman" w:hAnsi="Times New Roman" w:eastAsia="黑体"/>
          <w:b/>
          <w:color w:val="1F4E79"/>
          <w:sz w:val="28"/>
        </w:rPr>
        <w:t>2.3  数据库物理设计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32000" cy="3564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atabase_object_design_overview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32000" cy="3564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宋体"/>
          <w:sz w:val="21"/>
        </w:rPr>
        <w:t>图3 数据库物理设计与对象设计总览图</w:t>
      </w:r>
    </w:p>
    <w:p>
      <w:pPr>
        <w:spacing w:line="324" w:lineRule="auto"/>
        <w:ind w:firstLine="420"/>
      </w:pPr>
      <w:r>
        <w:rPr>
          <w:rFonts w:ascii="Times New Roman" w:hAnsi="Times New Roman" w:eastAsia="宋体"/>
          <w:b w:val="0"/>
          <w:sz w:val="24"/>
        </w:rPr>
        <w:t>数据库物理设计：为高频查询表创建适当索引。系统业务流水表数据增长快，应优先为状态、日期、批次和业务外键建立索引。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13"/>
        <w:gridCol w:w="1813"/>
        <w:gridCol w:w="1813"/>
        <w:gridCol w:w="1813"/>
        <w:gridCol w:w="1813"/>
      </w:tblGrid>
      <w:tr>
        <w:tc>
          <w:tcPr>
            <w:tcW w:type="dxa" w:w="1813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序号</w:t>
            </w:r>
          </w:p>
        </w:tc>
        <w:tc>
          <w:tcPr>
            <w:tcW w:type="dxa" w:w="1813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表</w:t>
            </w:r>
          </w:p>
        </w:tc>
        <w:tc>
          <w:tcPr>
            <w:tcW w:type="dxa" w:w="1813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索引字段</w:t>
            </w:r>
          </w:p>
        </w:tc>
        <w:tc>
          <w:tcPr>
            <w:tcW w:type="dxa" w:w="1813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类型</w:t>
            </w:r>
          </w:p>
        </w:tc>
        <w:tc>
          <w:tcPr>
            <w:tcW w:type="dxa" w:w="1813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设计理由</w:t>
            </w:r>
          </w:p>
        </w:tc>
      </w:tr>
      <w:tr>
        <w:tc>
          <w:tcPr>
            <w:tcW w:type="dxa" w:w="1813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1</w:t>
            </w:r>
          </w:p>
        </w:tc>
        <w:tc>
          <w:tcPr>
            <w:tcW w:type="dxa" w:w="1813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equipment</w:t>
            </w:r>
          </w:p>
        </w:tc>
        <w:tc>
          <w:tcPr>
            <w:tcW w:type="dxa" w:w="1813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equipment_code</w:t>
            </w:r>
          </w:p>
        </w:tc>
        <w:tc>
          <w:tcPr>
            <w:tcW w:type="dxa" w:w="1813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唯一索引</w:t>
            </w:r>
          </w:p>
        </w:tc>
        <w:tc>
          <w:tcPr>
            <w:tcW w:type="dxa" w:w="1813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设备编码唯一，常用于扫码和台账检索</w:t>
            </w:r>
          </w:p>
        </w:tc>
      </w:tr>
      <w:tr>
        <w:tc>
          <w:tcPr>
            <w:tcW w:type="dxa" w:w="1813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2</w:t>
            </w:r>
          </w:p>
        </w:tc>
        <w:tc>
          <w:tcPr>
            <w:tcW w:type="dxa" w:w="1813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equipment</w:t>
            </w:r>
          </w:p>
        </w:tc>
        <w:tc>
          <w:tcPr>
            <w:tcW w:type="dxa" w:w="1813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status</w:t>
            </w:r>
          </w:p>
        </w:tc>
        <w:tc>
          <w:tcPr>
            <w:tcW w:type="dxa" w:w="1813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普通索引</w:t>
            </w:r>
          </w:p>
        </w:tc>
        <w:tc>
          <w:tcPr>
            <w:tcW w:type="dxa" w:w="1813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设备借用页面频繁按可用/维修/校准状态筛选</w:t>
            </w:r>
          </w:p>
        </w:tc>
      </w:tr>
      <w:tr>
        <w:tc>
          <w:tcPr>
            <w:tcW w:type="dxa" w:w="1813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3</w:t>
            </w:r>
          </w:p>
        </w:tc>
        <w:tc>
          <w:tcPr>
            <w:tcW w:type="dxa" w:w="1813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equipment_borrow</w:t>
            </w:r>
          </w:p>
        </w:tc>
        <w:tc>
          <w:tcPr>
            <w:tcW w:type="dxa" w:w="1813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laboratory_id, borrow_status, due_date</w:t>
            </w:r>
          </w:p>
        </w:tc>
        <w:tc>
          <w:tcPr>
            <w:tcW w:type="dxa" w:w="1813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复合索引</w:t>
            </w:r>
          </w:p>
        </w:tc>
        <w:tc>
          <w:tcPr>
            <w:tcW w:type="dxa" w:w="1813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支持实验室维度下的借用审批、逾期催还和状态统计</w:t>
            </w:r>
          </w:p>
        </w:tc>
      </w:tr>
      <w:tr>
        <w:tc>
          <w:tcPr>
            <w:tcW w:type="dxa" w:w="1813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4</w:t>
            </w:r>
          </w:p>
        </w:tc>
        <w:tc>
          <w:tcPr>
            <w:tcW w:type="dxa" w:w="1813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inventory</w:t>
            </w:r>
          </w:p>
        </w:tc>
        <w:tc>
          <w:tcPr>
            <w:tcW w:type="dxa" w:w="1813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item_type, item_id, batch_no</w:t>
            </w:r>
          </w:p>
        </w:tc>
        <w:tc>
          <w:tcPr>
            <w:tcW w:type="dxa" w:w="1813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复合索引</w:t>
            </w:r>
          </w:p>
        </w:tc>
        <w:tc>
          <w:tcPr>
            <w:tcW w:type="dxa" w:w="1813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保证耗材和危化品按批次快速定位库存</w:t>
            </w:r>
          </w:p>
        </w:tc>
      </w:tr>
      <w:tr>
        <w:tc>
          <w:tcPr>
            <w:tcW w:type="dxa" w:w="1813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5</w:t>
            </w:r>
          </w:p>
        </w:tc>
        <w:tc>
          <w:tcPr>
            <w:tcW w:type="dxa" w:w="1813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inventory</w:t>
            </w:r>
          </w:p>
        </w:tc>
        <w:tc>
          <w:tcPr>
            <w:tcW w:type="dxa" w:w="1813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warning_status, expiry_date</w:t>
            </w:r>
          </w:p>
        </w:tc>
        <w:tc>
          <w:tcPr>
            <w:tcW w:type="dxa" w:w="1813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复合索引</w:t>
            </w:r>
          </w:p>
        </w:tc>
        <w:tc>
          <w:tcPr>
            <w:tcW w:type="dxa" w:w="1813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用于库存预警和临期过期提醒</w:t>
            </w:r>
          </w:p>
        </w:tc>
      </w:tr>
      <w:tr>
        <w:tc>
          <w:tcPr>
            <w:tcW w:type="dxa" w:w="1813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6</w:t>
            </w:r>
          </w:p>
        </w:tc>
        <w:tc>
          <w:tcPr>
            <w:tcW w:type="dxa" w:w="1813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hazardous_usage</w:t>
            </w:r>
          </w:p>
        </w:tc>
        <w:tc>
          <w:tcPr>
            <w:tcW w:type="dxa" w:w="1813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hazardous_material_id, action_type, usage_date</w:t>
            </w:r>
          </w:p>
        </w:tc>
        <w:tc>
          <w:tcPr>
            <w:tcW w:type="dxa" w:w="1813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复合索引</w:t>
            </w:r>
          </w:p>
        </w:tc>
        <w:tc>
          <w:tcPr>
            <w:tcW w:type="dxa" w:w="1813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支持危化品按种类、动作和日期追溯</w:t>
            </w:r>
          </w:p>
        </w:tc>
      </w:tr>
    </w:tbl>
    <w:p/>
    <w:p>
      <w:pPr>
        <w:pStyle w:val="Heading2"/>
      </w:pPr>
      <w:r>
        <w:rPr>
          <w:rFonts w:ascii="Times New Roman" w:hAnsi="Times New Roman" w:eastAsia="黑体"/>
          <w:b/>
          <w:color w:val="1F4E79"/>
          <w:sz w:val="28"/>
        </w:rPr>
        <w:t>2.4  SQL Server数据库对象设计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32000" cy="3836842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atabase_process_flow_no_cod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32000" cy="383684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宋体"/>
          <w:sz w:val="21"/>
        </w:rPr>
        <w:t>图4 数据库对象业务流程说明图</w:t>
      </w:r>
    </w:p>
    <w:p>
      <w:pPr>
        <w:spacing w:line="324" w:lineRule="auto"/>
      </w:pPr>
      <w:r>
        <w:rPr>
          <w:rFonts w:ascii="Times New Roman" w:hAnsi="Times New Roman" w:eastAsia="宋体"/>
          <w:b w:val="0"/>
          <w:sz w:val="24"/>
        </w:rPr>
        <w:t>1. 创建视图（v_equipment_borrow_status）</w:t>
      </w:r>
    </w:p>
    <w:p>
      <w:pPr>
        <w:spacing w:line="324" w:lineRule="auto"/>
        <w:ind w:firstLine="420"/>
      </w:pPr>
      <w:r>
        <w:rPr>
          <w:rFonts w:ascii="Times New Roman" w:hAnsi="Times New Roman" w:eastAsia="宋体"/>
          <w:b w:val="0"/>
          <w:sz w:val="24"/>
        </w:rPr>
        <w:t>设备借用页面和报表中心需要同时展示设备、实验室、借用人、审批人和借用状态，使用视图封装多表联查，减少前后端重复 SQL。</w:t>
      </w:r>
    </w:p>
    <w:p>
      <w:pPr>
        <w:ind w:left="340"/>
      </w:pPr>
      <w:r>
        <w:rPr>
          <w:rFonts w:ascii="Consolas" w:hAnsi="Consolas" w:eastAsia="等线"/>
          <w:sz w:val="19"/>
        </w:rPr>
        <w:t xml:space="preserve">       u.real_name AS borrower_name,</w:t>
      </w:r>
    </w:p>
    <w:p>
      <w:pPr>
        <w:ind w:left="340"/>
      </w:pPr>
      <w:r>
        <w:rPr>
          <w:rFonts w:ascii="Consolas" w:hAnsi="Consolas" w:eastAsia="等线"/>
          <w:sz w:val="19"/>
        </w:rPr>
        <w:t xml:space="preserve">       a.real_name AS approver_name,</w:t>
      </w:r>
    </w:p>
    <w:p>
      <w:pPr>
        <w:ind w:left="340"/>
      </w:pPr>
      <w:r>
        <w:rPr>
          <w:rFonts w:ascii="Consolas" w:hAnsi="Consolas" w:eastAsia="等线"/>
          <w:sz w:val="19"/>
        </w:rPr>
        <w:t xml:space="preserve">       b.borrow_time, b.due_date, b.return_time, b.borrow_status</w:t>
      </w:r>
    </w:p>
    <w:p>
      <w:pPr>
        <w:spacing w:line="324" w:lineRule="auto"/>
      </w:pPr>
      <w:r>
        <w:rPr>
          <w:rFonts w:ascii="Times New Roman" w:hAnsi="Times New Roman" w:eastAsia="宋体"/>
          <w:b w:val="0"/>
          <w:sz w:val="24"/>
        </w:rPr>
        <w:t>2. 创建存储过程（sp_consumable_outbound）</w:t>
      </w:r>
    </w:p>
    <w:p>
      <w:pPr>
        <w:spacing w:line="324" w:lineRule="auto"/>
        <w:ind w:firstLine="420"/>
      </w:pPr>
      <w:r>
        <w:rPr>
          <w:rFonts w:ascii="Times New Roman" w:hAnsi="Times New Roman" w:eastAsia="宋体"/>
          <w:b w:val="0"/>
          <w:sz w:val="24"/>
        </w:rPr>
        <w:t>耗材出库需要校验批次库存是否足够，出库成功后扣减库存。封装为存储过程可统一库存校验规则，避免不同业务入口重复实现。</w:t>
      </w:r>
    </w:p>
    <w:p>
      <w:pPr>
        <w:spacing w:line="324" w:lineRule="auto"/>
      </w:pPr>
      <w:r>
        <w:rPr>
          <w:rFonts w:ascii="Times New Roman" w:hAnsi="Times New Roman" w:eastAsia="宋体"/>
          <w:b w:val="0"/>
          <w:sz w:val="24"/>
        </w:rPr>
        <w:t>3. 创建触发器（trg_after_equipment_borrow）</w:t>
      </w:r>
    </w:p>
    <w:p>
      <w:pPr>
        <w:spacing w:line="324" w:lineRule="auto"/>
        <w:ind w:firstLine="420"/>
      </w:pPr>
      <w:r>
        <w:rPr>
          <w:rFonts w:ascii="Times New Roman" w:hAnsi="Times New Roman" w:eastAsia="宋体"/>
          <w:b w:val="0"/>
          <w:sz w:val="24"/>
        </w:rPr>
        <w:t>设备借用记录生成后需要自动修改设备状态，防止同一设备被重复借用。使用触发器可在数据库层面保障设备状态一致性。</w:t>
      </w:r>
    </w:p>
    <w:p>
      <w:pPr>
        <w:ind w:left="340"/>
      </w:pPr>
      <w:r>
        <w:rPr>
          <w:rFonts w:ascii="Consolas" w:hAnsi="Consolas" w:eastAsia="等线"/>
          <w:sz w:val="19"/>
        </w:rPr>
        <w:t>AFTER INSERT ON equipment_borrow</w:t>
      </w:r>
    </w:p>
    <w:p>
      <w:pPr>
        <w:ind w:left="340"/>
      </w:pPr>
      <w:r>
        <w:rPr>
          <w:rFonts w:ascii="Consolas" w:hAnsi="Consolas" w:eastAsia="等线"/>
          <w:sz w:val="19"/>
        </w:rPr>
        <w:t>FOR EACH ROW</w:t>
      </w:r>
    </w:p>
    <w:p>
      <w:pPr>
        <w:spacing w:line="324" w:lineRule="auto"/>
      </w:pPr>
      <w:r>
        <w:rPr>
          <w:rFonts w:ascii="Times New Roman" w:hAnsi="Times New Roman" w:eastAsia="宋体"/>
          <w:b w:val="0"/>
          <w:sz w:val="24"/>
        </w:rPr>
        <w:t>4. 查询某个用户在某个时间段的设备借用信息。</w:t>
      </w:r>
    </w:p>
    <w:p>
      <w:pPr>
        <w:spacing w:line="324" w:lineRule="auto"/>
      </w:pPr>
      <w:r>
        <w:rPr>
          <w:rFonts w:ascii="Times New Roman" w:hAnsi="Times New Roman" w:eastAsia="宋体"/>
          <w:b w:val="0"/>
          <w:sz w:val="24"/>
        </w:rPr>
        <w:t>5. 分别查询本月耗材出库数量和出库金额。</w:t>
      </w:r>
    </w:p>
    <w:p>
      <w:pPr>
        <w:ind w:left="340"/>
      </w:pPr>
      <w:r>
        <w:rPr>
          <w:rFonts w:ascii="Consolas" w:hAnsi="Consolas" w:eastAsia="等线"/>
          <w:sz w:val="19"/>
        </w:rPr>
        <w:t xml:space="preserve">       SUM(total_amount) AS 本月出库金额</w:t>
      </w:r>
    </w:p>
    <w:p>
      <w:r>
        <w:br w:type="page"/>
      </w:r>
    </w:p>
    <w:p>
      <w:pPr>
        <w:pStyle w:val="Heading1"/>
      </w:pPr>
      <w:r>
        <w:rPr>
          <w:rFonts w:ascii="Times New Roman" w:hAnsi="Times New Roman" w:eastAsia="黑体"/>
          <w:b/>
          <w:color w:val="1F4E79"/>
          <w:sz w:val="32"/>
        </w:rPr>
        <w:t>STEP 03  框架搭建</w:t>
      </w:r>
    </w:p>
    <w:p>
      <w:pPr>
        <w:spacing w:line="324" w:lineRule="auto"/>
        <w:ind w:firstLine="420"/>
      </w:pPr>
      <w:r>
        <w:rPr>
          <w:rFonts w:ascii="Times New Roman" w:hAnsi="Times New Roman" w:eastAsia="宋体"/>
          <w:b w:val="0"/>
          <w:sz w:val="24"/>
        </w:rPr>
        <w:t>系统采用 MVC 三层架构和前后端分离开发方式。后端 Controller 层提供 REST API，Service 层处理业务校验、审批和库存联动，Mapper 层使用 MyBatis-Plus 访问 MySQL。前端以 Vue 3 页面组件组织业务界面，通过 Axios 调用后端接口。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2"/>
        <w:gridCol w:w="4532"/>
      </w:tblGrid>
      <w:tr>
        <w:tc>
          <w:tcPr>
            <w:tcW w:type="dxa" w:w="4532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层次</w:t>
            </w:r>
          </w:p>
        </w:tc>
        <w:tc>
          <w:tcPr>
            <w:tcW w:type="dxa" w:w="4532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主要内容</w:t>
            </w:r>
          </w:p>
        </w:tc>
      </w:tr>
      <w:tr>
        <w:tc>
          <w:tcPr>
            <w:tcW w:type="dxa" w:w="4532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表现层</w:t>
            </w:r>
          </w:p>
        </w:tc>
        <w:tc>
          <w:tcPr>
            <w:tcW w:type="dxa" w:w="4532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Vue 3、TypeScript、Element Plus、ECharts，负责列表、表单、图表和权限按钮展示</w:t>
            </w:r>
          </w:p>
        </w:tc>
      </w:tr>
      <w:tr>
        <w:tc>
          <w:tcPr>
            <w:tcW w:type="dxa" w:w="4532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控制层</w:t>
            </w:r>
          </w:p>
        </w:tc>
        <w:tc>
          <w:tcPr>
            <w:tcW w:type="dxa" w:w="4532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Spring Boot Controller，负责参数接收、鉴权和统一响应</w:t>
            </w:r>
          </w:p>
        </w:tc>
      </w:tr>
      <w:tr>
        <w:tc>
          <w:tcPr>
            <w:tcW w:type="dxa" w:w="4532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业务层</w:t>
            </w:r>
          </w:p>
        </w:tc>
        <w:tc>
          <w:tcPr>
            <w:tcW w:type="dxa" w:w="4532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设备借还、耗材出入库、危化品使用、维修校准、提醒报表等 Service</w:t>
            </w:r>
          </w:p>
        </w:tc>
      </w:tr>
      <w:tr>
        <w:tc>
          <w:tcPr>
            <w:tcW w:type="dxa" w:w="4532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持久层</w:t>
            </w:r>
          </w:p>
        </w:tc>
        <w:tc>
          <w:tcPr>
            <w:tcW w:type="dxa" w:w="4532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MyBatis-Plus Mapper、XML SQL、视图、存储过程和触发器</w:t>
            </w:r>
          </w:p>
        </w:tc>
      </w:tr>
      <w:tr>
        <w:tc>
          <w:tcPr>
            <w:tcW w:type="dxa" w:w="4532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安全层</w:t>
            </w:r>
          </w:p>
        </w:tc>
        <w:tc>
          <w:tcPr>
            <w:tcW w:type="dxa" w:w="4532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Spring Security、JWT、RBAC 菜单和按钮权限</w:t>
            </w:r>
          </w:p>
        </w:tc>
      </w:tr>
    </w:tbl>
    <w:p/>
    <w:p>
      <w:pPr>
        <w:pStyle w:val="Heading1"/>
      </w:pPr>
      <w:r>
        <w:rPr>
          <w:rFonts w:ascii="Times New Roman" w:hAnsi="Times New Roman" w:eastAsia="黑体"/>
          <w:b/>
          <w:color w:val="1F4E79"/>
          <w:sz w:val="32"/>
        </w:rPr>
        <w:t>STEP 04  模块开发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3022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模块</w:t>
            </w:r>
          </w:p>
        </w:tc>
        <w:tc>
          <w:tcPr>
            <w:tcW w:type="dxa" w:w="3022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前端页面</w:t>
            </w:r>
          </w:p>
        </w:tc>
        <w:tc>
          <w:tcPr>
            <w:tcW w:type="dxa" w:w="3022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后端服务</w:t>
            </w:r>
          </w:p>
        </w:tc>
      </w:tr>
      <w:tr>
        <w:tc>
          <w:tcPr>
            <w:tcW w:type="dxa" w:w="3022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登录认证</w:t>
            </w:r>
          </w:p>
        </w:tc>
        <w:tc>
          <w:tcPr>
            <w:tcW w:type="dxa" w:w="3022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login.vue</w:t>
            </w:r>
          </w:p>
        </w:tc>
        <w:tc>
          <w:tcPr>
            <w:tcW w:type="dxa" w:w="3022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AuthController、JwtService</w:t>
            </w:r>
          </w:p>
        </w:tc>
      </w:tr>
      <w:tr>
        <w:tc>
          <w:tcPr>
            <w:tcW w:type="dxa" w:w="3022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设备管理</w:t>
            </w:r>
          </w:p>
        </w:tc>
        <w:tc>
          <w:tcPr>
            <w:tcW w:type="dxa" w:w="3022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equipment/list.vue、borrow.vue、repair.vue、calibration.vue</w:t>
            </w:r>
          </w:p>
        </w:tc>
        <w:tc>
          <w:tcPr>
            <w:tcW w:type="dxa" w:w="3022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EquipmentService、BorrowService、RepairService、CalibrationService</w:t>
            </w:r>
          </w:p>
        </w:tc>
      </w:tr>
      <w:tr>
        <w:tc>
          <w:tcPr>
            <w:tcW w:type="dxa" w:w="3022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耗材管理</w:t>
            </w:r>
          </w:p>
        </w:tc>
        <w:tc>
          <w:tcPr>
            <w:tcW w:type="dxa" w:w="3022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consumable/list.vue、inbound.vue、outbound.vue</w:t>
            </w:r>
          </w:p>
        </w:tc>
        <w:tc>
          <w:tcPr>
            <w:tcW w:type="dxa" w:w="3022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ConsumableService、InventoryService</w:t>
            </w:r>
          </w:p>
        </w:tc>
      </w:tr>
      <w:tr>
        <w:tc>
          <w:tcPr>
            <w:tcW w:type="dxa" w:w="3022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危化品管理</w:t>
            </w:r>
          </w:p>
        </w:tc>
        <w:tc>
          <w:tcPr>
            <w:tcW w:type="dxa" w:w="3022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hazardous/list.vue、usage.vue</w:t>
            </w:r>
          </w:p>
        </w:tc>
        <w:tc>
          <w:tcPr>
            <w:tcW w:type="dxa" w:w="3022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HazardousService、HazardousUsageService</w:t>
            </w:r>
          </w:p>
        </w:tc>
      </w:tr>
      <w:tr>
        <w:tc>
          <w:tcPr>
            <w:tcW w:type="dxa" w:w="3022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报表与提醒</w:t>
            </w:r>
          </w:p>
        </w:tc>
        <w:tc>
          <w:tcPr>
            <w:tcW w:type="dxa" w:w="3022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dashboard.vue、report.vue、reminder.vue</w:t>
            </w:r>
          </w:p>
        </w:tc>
        <w:tc>
          <w:tcPr>
            <w:tcW w:type="dxa" w:w="3022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DashboardService、ReportService、ReminderService</w:t>
            </w:r>
          </w:p>
        </w:tc>
      </w:tr>
      <w:tr>
        <w:tc>
          <w:tcPr>
            <w:tcW w:type="dxa" w:w="3022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权限管理</w:t>
            </w:r>
          </w:p>
        </w:tc>
        <w:tc>
          <w:tcPr>
            <w:tcW w:type="dxa" w:w="3022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user.vue、role.vue、menu.vue</w:t>
            </w:r>
          </w:p>
        </w:tc>
        <w:tc>
          <w:tcPr>
            <w:tcW w:type="dxa" w:w="3022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UserService、RoleService、MenuService</w:t>
            </w:r>
          </w:p>
        </w:tc>
      </w:tr>
    </w:tbl>
    <w:p/>
    <w:p>
      <w:pPr>
        <w:pStyle w:val="Heading1"/>
      </w:pPr>
      <w:r>
        <w:rPr>
          <w:rFonts w:ascii="Times New Roman" w:hAnsi="Times New Roman" w:eastAsia="黑体"/>
          <w:b/>
          <w:color w:val="1F4E79"/>
          <w:sz w:val="32"/>
        </w:rPr>
        <w:t>STEP 05  集成测试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3022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测试场景</w:t>
            </w:r>
          </w:p>
        </w:tc>
        <w:tc>
          <w:tcPr>
            <w:tcW w:type="dxa" w:w="3022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测试重点</w:t>
            </w:r>
          </w:p>
        </w:tc>
        <w:tc>
          <w:tcPr>
            <w:tcW w:type="dxa" w:w="3022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预期结果</w:t>
            </w:r>
          </w:p>
        </w:tc>
      </w:tr>
      <w:tr>
        <w:tc>
          <w:tcPr>
            <w:tcW w:type="dxa" w:w="3022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设备借用流程</w:t>
            </w:r>
          </w:p>
        </w:tc>
        <w:tc>
          <w:tcPr>
            <w:tcW w:type="dxa" w:w="3022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可用设备申请、审批、借出、归还</w:t>
            </w:r>
          </w:p>
        </w:tc>
        <w:tc>
          <w:tcPr>
            <w:tcW w:type="dxa" w:w="3022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设备状态正确从可用变为借出，再恢复为可用</w:t>
            </w:r>
          </w:p>
        </w:tc>
      </w:tr>
      <w:tr>
        <w:tc>
          <w:tcPr>
            <w:tcW w:type="dxa" w:w="3022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耗材出库流程</w:t>
            </w:r>
          </w:p>
        </w:tc>
        <w:tc>
          <w:tcPr>
            <w:tcW w:type="dxa" w:w="3022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库存数量校验、审批、扣减库存</w:t>
            </w:r>
          </w:p>
        </w:tc>
        <w:tc>
          <w:tcPr>
            <w:tcW w:type="dxa" w:w="3022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库存不足时阻止出库，出库成功后数量扣减</w:t>
            </w:r>
          </w:p>
        </w:tc>
      </w:tr>
      <w:tr>
        <w:tc>
          <w:tcPr>
            <w:tcW w:type="dxa" w:w="3022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危化品领用流程</w:t>
            </w:r>
          </w:p>
        </w:tc>
        <w:tc>
          <w:tcPr>
            <w:tcW w:type="dxa" w:w="3022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审批、双人复核、余量归还、废液处理</w:t>
            </w:r>
          </w:p>
        </w:tc>
        <w:tc>
          <w:tcPr>
            <w:tcW w:type="dxa" w:w="3022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完整记录申请人、审批人、操作人和复核人</w:t>
            </w:r>
          </w:p>
        </w:tc>
      </w:tr>
      <w:tr>
        <w:tc>
          <w:tcPr>
            <w:tcW w:type="dxa" w:w="3022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权限控制</w:t>
            </w:r>
          </w:p>
        </w:tc>
        <w:tc>
          <w:tcPr>
            <w:tcW w:type="dxa" w:w="3022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不同角色访问菜单和按钮</w:t>
            </w:r>
          </w:p>
        </w:tc>
        <w:tc>
          <w:tcPr>
            <w:tcW w:type="dxa" w:w="3022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无权限用户无法访问受限功能</w:t>
            </w:r>
          </w:p>
        </w:tc>
      </w:tr>
      <w:tr>
        <w:tc>
          <w:tcPr>
            <w:tcW w:type="dxa" w:w="3022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提醒报表</w:t>
            </w:r>
          </w:p>
        </w:tc>
        <w:tc>
          <w:tcPr>
            <w:tcW w:type="dxa" w:w="3022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校准到期、耗材过期、逾期催还</w:t>
            </w:r>
          </w:p>
        </w:tc>
        <w:tc>
          <w:tcPr>
            <w:tcW w:type="dxa" w:w="3022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提醒列表和报表统计数据正确</w:t>
            </w:r>
          </w:p>
        </w:tc>
      </w:tr>
    </w:tbl>
    <w:p/>
    <w:p>
      <w:pPr>
        <w:pStyle w:val="Heading2"/>
      </w:pPr>
      <w:r>
        <w:rPr>
          <w:rFonts w:ascii="Times New Roman" w:hAnsi="Times New Roman" w:eastAsia="黑体"/>
          <w:b/>
          <w:color w:val="1F4E79"/>
          <w:sz w:val="28"/>
        </w:rPr>
        <w:t>AI 交互质疑与最终调整</w:t>
      </w:r>
    </w:p>
    <w:p>
      <w:pPr>
        <w:spacing w:line="324" w:lineRule="auto"/>
      </w:pPr>
      <w:r>
        <w:rPr>
          <w:rFonts w:ascii="Times New Roman" w:hAnsi="Times New Roman" w:eastAsia="宋体"/>
          <w:b w:val="0"/>
          <w:sz w:val="24"/>
        </w:rPr>
        <w:t>质问1：最初设计只保留四类角色，未体现设备管理员、耗材管理员、危化品管理员、维修人员和校准人员。最终在用例图和权限说明中补充专项角色，体现真实实验室分工。</w:t>
      </w:r>
    </w:p>
    <w:p>
      <w:pPr>
        <w:spacing w:line="324" w:lineRule="auto"/>
      </w:pPr>
      <w:r>
        <w:rPr>
          <w:rFonts w:ascii="Times New Roman" w:hAnsi="Times New Roman" w:eastAsia="宋体"/>
          <w:b w:val="0"/>
          <w:sz w:val="24"/>
        </w:rPr>
        <w:t>质问2：最初库存只描述耗材库存，忽略危化品批次余量。最终使用 inventory 的 item_type + item_id 设计统一库存，同时支持耗材和危化品。</w:t>
      </w:r>
    </w:p>
    <w:p>
      <w:pPr>
        <w:spacing w:line="324" w:lineRule="auto"/>
      </w:pPr>
      <w:r>
        <w:rPr>
          <w:rFonts w:ascii="Times New Roman" w:hAnsi="Times New Roman" w:eastAsia="宋体"/>
          <w:b w:val="0"/>
          <w:sz w:val="24"/>
        </w:rPr>
        <w:t>质问3：最初危化品流程缺少双人复核和废液处理。最终在 hazardous_usage 中加入 witness_name、action_type，并在用例说明中明确双人复核。</w:t>
      </w:r>
    </w:p>
    <w:p>
      <w:pPr>
        <w:spacing w:line="324" w:lineRule="auto"/>
      </w:pPr>
      <w:r>
        <w:rPr>
          <w:rFonts w:ascii="Times New Roman" w:hAnsi="Times New Roman" w:eastAsia="宋体"/>
          <w:b w:val="0"/>
          <w:sz w:val="24"/>
        </w:rPr>
        <w:t>质问4：最初索引设计容易过度扩展。最终只保留设备状态、借用状态日期、库存批次和预警追溯等高频查询索引。</w:t>
      </w:r>
    </w:p>
    <w:p>
      <w:pPr>
        <w:spacing w:line="324" w:lineRule="auto"/>
      </w:pPr>
      <w:r>
        <w:rPr>
          <w:rFonts w:ascii="Times New Roman" w:hAnsi="Times New Roman" w:eastAsia="宋体"/>
          <w:b w:val="0"/>
          <w:sz w:val="24"/>
        </w:rPr>
        <w:t>质问5：最初用例图过于概览，无法说明各角色职责。最终按样板风格重绘多角色用例流程图，并细化专项管理员职责。</w:t>
      </w:r>
    </w:p>
    <w:sectPr w:rsidR="00FC693F" w:rsidRPr="0006063C" w:rsidSect="00034616">
      <w:pgSz w:w="12240" w:h="15840"/>
      <w:pgMar w:top="1440" w:right="1474" w:bottom="1440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 w:eastAsia="黑体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 w:eastAsia="黑体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 w:eastAsia="黑体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