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1：</w:t>
      </w:r>
      <w:r w:rsidRPr="00837DC0">
        <w:rPr>
          <w:rFonts w:ascii="Microsoft YaHei UI" w:cs="宋体" w:eastAsia="Microsoft YaHei UI" w:hAnsi="Microsoft YaHei UI" w:hint="eastAsia"/>
          <w:b/>
          <w:bCs/>
          <w:color w:val="FF0000"/>
          <w:kern w:val="0"/>
          <w:szCs w:val="21"/>
        </w:rPr>
        <w:t>金融云体系的可交易品种</w:t>
      </w: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有哪些，与CTS可交易品种的关系如何？</w:t>
      </w:r>
    </w:p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     看CRM提供的营运资金帐户查询接口，返回的类型是 </w:t>
      </w:r>
      <w:r w:rsidRPr="00837DC0">
        <w:rPr>
          <w:rFonts w:ascii="Microsoft YaHei UI" w:cs="宋体" w:eastAsia="Microsoft YaHei UI" w:hAnsi="Microsoft YaHei UI" w:hint="eastAsia"/>
          <w:b/>
          <w:bCs/>
          <w:color w:val="000000"/>
          <w:kern w:val="0"/>
          <w:szCs w:val="21"/>
        </w:rPr>
        <w:t>0.FICC场外衍生品交易与代理清算，1.报价系统收益凭证及其他  </w:t>
      </w:r>
    </w:p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b/>
          <w:bCs/>
          <w:color w:val="000000"/>
          <w:kern w:val="0"/>
          <w:szCs w:val="21"/>
        </w:rPr>
        <w:t>            </w:t>
      </w: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可交易品种是不是就这两个？是否CTS的互换和期权类业务，都属于0 ？</w:t>
      </w:r>
    </w:p>
    <w:p w:rsidP="00837DC0" w:rsidR="005C3F31" w:rsidRPr="005C3F31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——LH：</w:t>
      </w:r>
    </w:p>
    <w:p w:rsidP="005C3F31" w:rsidR="00837DC0" w:rsidRPr="005C3F3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金融云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的</w:t>
      </w: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资金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账户是：</w:t>
      </w:r>
      <w:r w:rsidRPr="005C3F31">
        <w:rPr>
          <w:rFonts w:ascii="Microsoft YaHei UI" w:cs="宋体" w:eastAsia="Microsoft YaHei UI" w:hAnsi="Microsoft YaHei UI" w:hint="eastAsia"/>
          <w:b/>
          <w:bCs/>
          <w:color w:val="0070C0"/>
          <w:kern w:val="0"/>
          <w:szCs w:val="21"/>
        </w:rPr>
        <w:t>0.FICC场外衍生品交易与代理清算，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这个是包含所有金融云交易品种；</w:t>
      </w:r>
    </w:p>
    <w:p w:rsidP="005C3F31" w:rsidR="005C3F3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</w:pP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CTS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可交易品种查询不是在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“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交易对手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”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系统取得的，而是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“用户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中心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”系统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接口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得到：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当前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共14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种</w:t>
      </w:r>
      <w:r w:rsidRPr="006914F8">
        <w:rPr>
          <w:rFonts w:ascii="Microsoft YaHei UI" w:cs="宋体" w:eastAsia="Microsoft YaHei UI" w:hAnsi="Microsoft YaHei UI"/>
          <w:strike/>
          <w:color w:val="0070C0"/>
          <w:kern w:val="0"/>
          <w:szCs w:val="21"/>
        </w:rPr>
        <w:t>业务种类</w:t>
      </w:r>
      <w:r w:rsidRP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：</w:t>
      </w:r>
      <w:r w:rsidR="006914F8"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  <w:t>（20220426删除）</w:t>
      </w:r>
    </w:p>
    <w:p w:rsidP="006914F8" w:rsidR="006914F8" w:rsidRPr="006914F8">
      <w:pPr>
        <w:widowControl/>
        <w:ind w:firstLine="210" w:firstLineChars="100"/>
        <w:jc w:val="left"/>
        <w:rPr>
          <w:rFonts w:ascii="Microsoft YaHei UI" w:cs="宋体" w:eastAsia="Microsoft YaHei UI" w:hAnsi="Microsoft YaHei UI" w:hint="eastAsia"/>
          <w:strike/>
          <w:color w:val="0070C0"/>
          <w:kern w:val="0"/>
          <w:szCs w:val="21"/>
        </w:rPr>
      </w:pP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（20220426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修正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）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各业务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系统（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CTS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、FI对客、代理清算）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可交易品种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通过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“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交易对手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”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系统</w:t>
      </w:r>
      <w:r w:rsidRPr="006914F8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接口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查询，得到CRMID和</w:t>
      </w:r>
      <w:r w:rsidR="00C46572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交易</w:t>
      </w:r>
      <w:r w:rsidR="00C46572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品种</w:t>
      </w:r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的</w:t>
      </w:r>
      <w:r w:rsidR="00C46572">
        <w:rPr>
          <w:rFonts w:ascii="Microsoft YaHei UI" w:cs="宋体" w:eastAsia="Microsoft YaHei UI" w:hAnsi="Microsoft YaHei UI" w:hint="eastAsia"/>
          <w:color w:val="0070C0"/>
          <w:kern w:val="0"/>
          <w:szCs w:val="21"/>
          <w:highlight w:val="yellow"/>
        </w:rPr>
        <w:t>1对</w:t>
      </w:r>
      <w:r w:rsidR="00C46572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多</w:t>
      </w:r>
      <w:bookmarkStart w:id="0" w:name="_GoBack"/>
      <w:bookmarkEnd w:id="0"/>
      <w:r w:rsidRPr="006914F8">
        <w:rPr>
          <w:rFonts w:ascii="Microsoft YaHei UI" w:cs="宋体" w:eastAsia="Microsoft YaHei UI" w:hAnsi="Microsoft YaHei UI"/>
          <w:color w:val="0070C0"/>
          <w:kern w:val="0"/>
          <w:szCs w:val="21"/>
          <w:highlight w:val="yellow"/>
        </w:rPr>
        <w:t>关系：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利率期权；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利率互换；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远期利率；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信用衍生品；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境内固收类收益互换；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境内信用类期权；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境内其他固收类标的期权；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 xml:space="preserve">跨境固收类衍生品； 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外汇衍生品；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商品衍生品；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碳衍生品交易；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利率互换代理清算；</w:t>
      </w:r>
    </w:p>
    <w:p w:rsidP="005C3F31" w:rsidR="005C3F31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标债远期代理清算；</w:t>
      </w:r>
    </w:p>
    <w:p w:rsidP="005C3F31" w:rsidR="00837DC0" w:rsidRPr="005C3F31">
      <w:pPr>
        <w:pStyle w:val="ListParagraph"/>
        <w:widowControl/>
        <w:ind w:left="36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信用衍生品代理清算。</w:t>
      </w:r>
    </w:p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</w:p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2：“</w:t>
      </w:r>
      <w:r w:rsidRPr="00837DC0">
        <w:rPr>
          <w:rFonts w:ascii="Microsoft YaHei UI" w:cs="宋体" w:eastAsia="Microsoft YaHei UI" w:hAnsi="Microsoft YaHei UI" w:hint="eastAsia"/>
          <w:b/>
          <w:bCs/>
          <w:color w:val="FF0000"/>
          <w:kern w:val="0"/>
          <w:szCs w:val="21"/>
        </w:rPr>
        <w:t>用户 &lt;=&gt; 交易对手</w:t>
      </w: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”  之间的关系是多对多吗？</w:t>
      </w:r>
    </w:p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      目前按照沟通，一个用户可以操作多个资金帐户； 一个交易对手可以有多个资金帐户。 那用户和交易对手是否就是一对多的关系？</w:t>
      </w:r>
    </w:p>
    <w:p w:rsidP="00837DC0" w:rsidR="005C3F31" w:rsidRP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FC1DE3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——LH：</w:t>
      </w:r>
    </w:p>
    <w:p w:rsidP="005C3F31" w:rsidR="00837DC0" w:rsidRPr="005C3F3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用户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和交易</w:t>
      </w: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对手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是</w:t>
      </w: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1对多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关系；</w:t>
      </w:r>
    </w:p>
    <w:p w:rsidP="005C3F31" w:rsidR="00BC2414" w:rsidRPr="005C3F3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一个</w:t>
      </w:r>
      <w:r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交易对手有多个资金账户</w:t>
      </w:r>
      <w:r w:rsidR="005C3F31"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是</w:t>
      </w:r>
      <w:r w:rsidR="005C3F31" w:rsidRPr="005C3F31">
        <w:rPr>
          <w:rFonts w:ascii="Microsoft YaHei UI" w:cs="宋体" w:eastAsia="Microsoft YaHei UI" w:hAnsi="Microsoft YaHei UI"/>
          <w:color w:val="0070C0"/>
          <w:kern w:val="0"/>
          <w:szCs w:val="21"/>
        </w:rPr>
        <w:t>系统设计上预留扩展，当前交易对手和资金账户</w:t>
      </w:r>
      <w:r w:rsidR="005C3F31"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（</w:t>
      </w:r>
      <w:r w:rsidR="005C3F31" w:rsidRPr="005C3F31">
        <w:rPr>
          <w:rFonts w:ascii="Microsoft YaHei UI" w:cs="宋体" w:eastAsia="Microsoft YaHei UI" w:hAnsi="Microsoft YaHei UI" w:hint="eastAsia"/>
          <w:b/>
          <w:bCs/>
          <w:color w:val="0070C0"/>
          <w:kern w:val="0"/>
          <w:szCs w:val="21"/>
        </w:rPr>
        <w:t>0.FICC场外衍生品交易与代理清算</w:t>
      </w:r>
      <w:r w:rsidR="005C3F31" w:rsidRPr="005C3F31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）是1对1</w:t>
      </w:r>
    </w:p>
    <w:p w:rsidP="00837DC0" w:rsidR="00BC2414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</w:p>
    <w:p w:rsidP="00837DC0" w:rsidR="00837DC0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3：交易对手 -&gt; 资金账户 -&gt; 保证金账户。这套流程下</w:t>
      </w:r>
      <w:r w:rsidRPr="00837DC0">
        <w:rPr>
          <w:rFonts w:ascii="Microsoft YaHei UI" w:cs="宋体" w:eastAsia="Microsoft YaHei UI" w:hAnsi="Microsoft YaHei UI" w:hint="eastAsia"/>
          <w:b/>
          <w:bCs/>
          <w:color w:val="FF0000"/>
          <w:kern w:val="0"/>
          <w:szCs w:val="21"/>
        </w:rPr>
        <w:t>保证金账户共用情况</w:t>
      </w: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怎么处理？（这套流程看上去是期权和互换都用一个保证金账号，但是他们的充足率计算公式是不一样的，该如何区分每种类型交易的风险情况）</w:t>
      </w:r>
    </w:p>
    <w:p w:rsidP="00FC1DE3" w:rsid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FC1DE3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——LH：</w:t>
      </w:r>
    </w:p>
    <w:p w:rsidP="00FC1DE3" w:rsidR="00837DC0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FC1DE3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保证金</w:t>
      </w:r>
      <w:r w:rsidRPr="00FC1DE3">
        <w:rPr>
          <w:rFonts w:ascii="Microsoft YaHei UI" w:cs="宋体" w:eastAsia="Microsoft YaHei UI" w:hAnsi="Microsoft YaHei UI"/>
          <w:color w:val="0070C0"/>
          <w:kern w:val="0"/>
          <w:szCs w:val="21"/>
        </w:rPr>
        <w:t>规则不一样，但算到最后都是金额，就可以相加了；</w:t>
      </w:r>
    </w:p>
    <w:p w:rsidP="00FC1DE3" w:rsidR="00FC1DE3" w:rsidRPr="00FC1DE3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当前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系统不需要支持跨业务品种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保证金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轧差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计算，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但同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一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品种内可能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需要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轧差；</w:t>
      </w:r>
    </w:p>
    <w:p w:rsidP="00837DC0" w:rsidR="00FC1DE3" w:rsidRPr="00837DC0">
      <w:pPr>
        <w:widowControl/>
        <w:jc w:val="left"/>
        <w:rPr>
          <w:rFonts w:ascii="Microsoft YaHei UI" w:cs="宋体" w:eastAsia="Microsoft YaHei UI" w:hAnsi="Microsoft YaHei UI"/>
          <w:color w:val="000000"/>
          <w:kern w:val="0"/>
          <w:szCs w:val="21"/>
        </w:rPr>
      </w:pPr>
    </w:p>
    <w:p w:rsidP="00837DC0" w:rsidR="00837DC0" w:rsidRPr="00837DC0">
      <w:pPr>
        <w:widowControl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4：保证金：以“资金账户”为口径计算和检查保证金 --》目前crm这边保证金出入金、追加释放都是按交易对手crmID来处理的， 这个是否需要CRM系统改造成以资金帐户维度来？</w:t>
      </w:r>
    </w:p>
    <w:p w:rsidP="00FC1DE3" w:rsid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FC1DE3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——LH：</w:t>
      </w:r>
      <w:r w:rsidR="00A268B2" w:rsidRPr="00A268B2">
        <w:rPr>
          <w:rFonts w:ascii="Microsoft YaHei UI" w:cs="宋体" w:eastAsia="Microsoft YaHei UI" w:hAnsi="Microsoft YaHei UI" w:hint="eastAsia"/>
          <w:color w:val="FF0000"/>
          <w:kern w:val="0"/>
          <w:szCs w:val="21"/>
        </w:rPr>
        <w:t>需求变更</w:t>
      </w:r>
      <w:r w:rsidR="00A268B2" w:rsidRPr="00A268B2">
        <w:rPr>
          <w:rFonts w:ascii="Microsoft YaHei UI" w:cs="宋体" w:eastAsia="Microsoft YaHei UI" w:hAnsi="Microsoft YaHei UI"/>
          <w:color w:val="FF0000"/>
          <w:kern w:val="0"/>
          <w:szCs w:val="21"/>
        </w:rPr>
        <w:t>为：以“</w:t>
      </w:r>
      <w:r w:rsidR="00A268B2" w:rsidRPr="00A268B2">
        <w:rPr>
          <w:rFonts w:ascii="Microsoft YaHei UI" w:cs="宋体" w:eastAsia="Microsoft YaHei UI" w:hAnsi="Microsoft YaHei UI" w:hint="eastAsia"/>
          <w:color w:val="FF0000"/>
          <w:kern w:val="0"/>
          <w:szCs w:val="21"/>
        </w:rPr>
        <w:t>交易</w:t>
      </w:r>
      <w:r w:rsidR="00A268B2" w:rsidRPr="00A268B2">
        <w:rPr>
          <w:rFonts w:ascii="Microsoft YaHei UI" w:cs="宋体" w:eastAsia="Microsoft YaHei UI" w:hAnsi="Microsoft YaHei UI"/>
          <w:color w:val="FF0000"/>
          <w:kern w:val="0"/>
          <w:szCs w:val="21"/>
        </w:rPr>
        <w:t>对手”</w:t>
      </w:r>
      <w:r w:rsidR="00A268B2" w:rsidRPr="00A268B2">
        <w:rPr>
          <w:rFonts w:ascii="Microsoft YaHei UI" w:cs="宋体" w:eastAsia="Microsoft YaHei UI" w:hAnsi="Microsoft YaHei UI" w:hint="eastAsia"/>
          <w:color w:val="FF0000"/>
          <w:kern w:val="0"/>
          <w:szCs w:val="21"/>
        </w:rPr>
        <w:t>（CRMID）为</w:t>
      </w:r>
      <w:r w:rsidR="00A268B2" w:rsidRPr="00A268B2">
        <w:rPr>
          <w:rFonts w:ascii="Microsoft YaHei UI" w:cs="宋体" w:eastAsia="Microsoft YaHei UI" w:hAnsi="Microsoft YaHei UI"/>
          <w:color w:val="FF0000"/>
          <w:kern w:val="0"/>
          <w:szCs w:val="21"/>
        </w:rPr>
        <w:t>口径计算</w:t>
      </w:r>
      <w:r w:rsidR="00A268B2" w:rsidRPr="00A268B2">
        <w:rPr>
          <w:rFonts w:ascii="Microsoft YaHei UI" w:cs="宋体" w:eastAsia="Microsoft YaHei UI" w:hAnsi="Microsoft YaHei UI" w:hint="eastAsia"/>
          <w:color w:val="FF0000"/>
          <w:kern w:val="0"/>
          <w:szCs w:val="21"/>
        </w:rPr>
        <w:t>、</w:t>
      </w:r>
      <w:r w:rsidR="00A268B2" w:rsidRPr="00A268B2">
        <w:rPr>
          <w:rFonts w:ascii="Microsoft YaHei UI" w:cs="宋体" w:eastAsia="Microsoft YaHei UI" w:hAnsi="Microsoft YaHei UI"/>
          <w:color w:val="FF0000"/>
          <w:kern w:val="0"/>
          <w:szCs w:val="21"/>
        </w:rPr>
        <w:t>检查保证金。</w:t>
      </w:r>
    </w:p>
    <w:p w:rsidP="00837DC0" w:rsidR="00837DC0" w:rsidRPr="00837DC0">
      <w:pPr>
        <w:widowControl/>
        <w:rPr>
          <w:rFonts w:ascii="Microsoft YaHei UI" w:cs="宋体" w:eastAsia="Microsoft YaHei UI" w:hAnsi="Microsoft YaHei UI"/>
          <w:color w:val="000000"/>
          <w:kern w:val="0"/>
          <w:szCs w:val="21"/>
        </w:rPr>
      </w:pPr>
    </w:p>
    <w:p w:rsidP="00837DC0" w:rsidR="00837DC0" w:rsidRPr="00837DC0">
      <w:pPr>
        <w:widowControl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5：目前用户登录后，可以查询返回用户的资金帐户信息，但这些资金帐户属于哪个交易对手，这个接口好像没有。 </w:t>
      </w:r>
    </w:p>
    <w:p w:rsidP="00837DC0" w:rsidR="00837DC0" w:rsidRPr="00837DC0">
      <w:pPr>
        <w:widowControl/>
        <w:rPr>
          <w:rFonts w:ascii="Microsoft YaHei UI" w:cs="宋体" w:eastAsia="Microsoft YaHei UI" w:hAnsi="Microsoft YaHei UI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           CRM提供的营运资金帐户查询，是通过cmrid查询资金帐户信息，反过来的没有。看是否需要提供额外接口。</w:t>
      </w:r>
    </w:p>
    <w:p w:rsidP="00FC1DE3" w:rsid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 w:rsidRPr="00FC1DE3"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——LH：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名词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解释文档有写过：</w:t>
      </w:r>
    </w:p>
    <w:p w:rsidP="00FC1DE3" w:rsid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用户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中心：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资金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账户</w:t>
      </w:r>
    </w:p>
    <w:p w:rsidP="00FC1DE3" w:rsid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交易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对手：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交易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对手-资金账户</w:t>
      </w:r>
    </w:p>
    <w:p w:rsidP="00FC1DE3" w:rsidR="00FC1DE3" w:rsidRPr="00FC1DE3">
      <w:pPr>
        <w:widowControl/>
        <w:jc w:val="left"/>
        <w:rPr>
          <w:rFonts w:ascii="Microsoft YaHei UI" w:cs="宋体" w:eastAsia="Microsoft YaHei UI" w:hAnsi="Microsoft YaHei UI"/>
          <w:color w:val="0070C0"/>
          <w:kern w:val="0"/>
          <w:szCs w:val="21"/>
        </w:rPr>
      </w:pP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这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两个系统的接口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全量是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可用了，为了方便使用，请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“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交易对手系统</w:t>
      </w:r>
      <w:r>
        <w:rPr>
          <w:rFonts w:ascii="Microsoft YaHei UI" w:cs="宋体" w:eastAsia="Microsoft YaHei UI" w:hAnsi="Microsoft YaHei UI" w:hint="eastAsia"/>
          <w:color w:val="0070C0"/>
          <w:kern w:val="0"/>
          <w:szCs w:val="21"/>
        </w:rPr>
        <w:t>”新增个</w:t>
      </w:r>
      <w:r>
        <w:rPr>
          <w:rFonts w:ascii="Microsoft YaHei UI" w:cs="宋体" w:eastAsia="Microsoft YaHei UI" w:hAnsi="Microsoft YaHei UI"/>
          <w:color w:val="0070C0"/>
          <w:kern w:val="0"/>
          <w:szCs w:val="21"/>
        </w:rPr>
        <w:t>查询接口。</w:t>
      </w:r>
    </w:p>
    <w:p w:rsidP="001F7A76" w:rsidR="00837DC0" w:rsidRPr="00837DC0">
      <w:pPr>
        <w:widowControl/>
        <w:jc w:val="left"/>
        <w:rPr>
          <w:rFonts w:ascii="等线" w:cs="宋体" w:eastAsia="等线" w:hAnsi="等线"/>
          <w:color w:val="000000"/>
          <w:kern w:val="0"/>
          <w:szCs w:val="21"/>
        </w:rPr>
      </w:pPr>
      <w:r w:rsidRPr="00837DC0">
        <w:rPr>
          <w:rFonts w:ascii="Microsoft YaHei UI" w:cs="宋体" w:eastAsia="Microsoft YaHei UI" w:hAnsi="Microsoft YaHei UI" w:hint="eastAsia"/>
          <w:color w:val="000000"/>
          <w:kern w:val="0"/>
          <w:szCs w:val="21"/>
        </w:rPr>
        <w:t> </w:t>
      </w:r>
    </w:p>
    <w:p w:rsidR="00F51C37" w:rsidRPr="00837DC0"/>
    <w:sectPr>
      <w:headerReference r:id="rId4" w:type="even"/>
      <w:headerReference r:id="rId5" w:type="default"/>
      <w:headerReference r:id="rId6" w:type="first"/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1" style="width:222.75pt;height:315.75pt;margin-top:0;margin-left:0;mso-position-horizontal:center;mso-position-horizontal-relative:page;mso-position-vertical:center;mso-position-vertical-relative:page;position:absolute;z-index:251660288" type="#_x0000_t75">
          <v:imagedata o:title="" r:id="rId1"/>
          <o:lock aspectratio="f" v:ext="edit"/>
        </v:shape>
      </w:pic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49" style="width:222.75pt;height:315.75pt;margin-top:0;margin-left:0;mso-position-horizontal:center;mso-position-horizontal-relative:page;mso-position-vertical:center;mso-position-vertical-relative:page;position:absolute;z-index:251658240" type="#_x0000_t75">
          <v:imagedata o:title="" r:id="rId1"/>
          <o:lock aspectratio="f" v:ext="edit"/>
        </v:shape>
      </w:pic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0" style="width:222.75pt;height:315.75pt;margin-top:0;margin-left:0;mso-position-horizontal:center;mso-position-horizontal-relative:page;mso-position-vertical:center;mso-position-vertical-relative:page;position:absolute;z-index:251659264" type="#_x0000_t75">
          <v:imagedata o:title="" r:id="rId1"/>
          <o:lock aspectratio="f" v:ext="edit"/>
        </v:shape>
      </w:pic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2F0727"/>
    <w:multiLevelType w:val="hybridMultilevel"/>
    <w:tmpl w:val="8AB4996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hanging="420" w:left="840"/>
      </w:pPr>
    </w:lvl>
    <w:lvl w:ilvl="2" w:tentative="1">
      <w:start w:val="1"/>
      <w:numFmt w:val="lowerRoman"/>
      <w:lvlText w:val="%3."/>
      <w:lvlJc w:val="right"/>
      <w:pPr>
        <w:ind w:hanging="420" w:left="1260"/>
      </w:pPr>
    </w:lvl>
    <w:lvl w:ilvl="3" w:tentative="1">
      <w:start w:val="1"/>
      <w:numFmt w:val="decimal"/>
      <w:lvlText w:val="%4."/>
      <w:lvlJc w:val="left"/>
      <w:pPr>
        <w:ind w:hanging="420" w:left="1680"/>
      </w:pPr>
    </w:lvl>
    <w:lvl w:ilvl="4" w:tentative="1">
      <w:start w:val="1"/>
      <w:numFmt w:val="lowerLetter"/>
      <w:lvlText w:val="%5)"/>
      <w:lvlJc w:val="left"/>
      <w:pPr>
        <w:ind w:hanging="420" w:left="2100"/>
      </w:pPr>
    </w:lvl>
    <w:lvl w:ilvl="5" w:tentative="1">
      <w:start w:val="1"/>
      <w:numFmt w:val="lowerRoman"/>
      <w:lvlText w:val="%6."/>
      <w:lvlJc w:val="right"/>
      <w:pPr>
        <w:ind w:hanging="420" w:left="2520"/>
      </w:pPr>
    </w:lvl>
    <w:lvl w:ilvl="6" w:tentative="1">
      <w:start w:val="1"/>
      <w:numFmt w:val="decimal"/>
      <w:lvlText w:val="%7."/>
      <w:lvlJc w:val="left"/>
      <w:pPr>
        <w:ind w:hanging="420" w:left="2940"/>
      </w:pPr>
    </w:lvl>
    <w:lvl w:ilvl="7" w:tentative="1">
      <w:start w:val="1"/>
      <w:numFmt w:val="lowerLetter"/>
      <w:lvlText w:val="%8)"/>
      <w:lvlJc w:val="left"/>
      <w:pPr>
        <w:ind w:hanging="420" w:left="3360"/>
      </w:pPr>
    </w:lvl>
    <w:lvl w:ilvl="8" w:tentative="1">
      <w:start w:val="1"/>
      <w:numFmt w:val="lowerRoman"/>
      <w:lvlText w:val="%9."/>
      <w:lvlJc w:val="right"/>
      <w:pPr>
        <w:ind w:hanging="420" w:left="3780"/>
      </w:pPr>
    </w:lvl>
  </w:abstractNum>
  <w:abstractNum w:abstractNumId="1">
    <w:nsid w:val="329F2979"/>
    <w:multiLevelType w:val="hybridMultilevel"/>
    <w:tmpl w:val="8C3A27C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hanging="420" w:left="840"/>
      </w:pPr>
    </w:lvl>
    <w:lvl w:ilvl="2" w:tentative="1">
      <w:start w:val="1"/>
      <w:numFmt w:val="lowerRoman"/>
      <w:lvlText w:val="%3."/>
      <w:lvlJc w:val="right"/>
      <w:pPr>
        <w:ind w:hanging="420" w:left="1260"/>
      </w:pPr>
    </w:lvl>
    <w:lvl w:ilvl="3" w:tentative="1">
      <w:start w:val="1"/>
      <w:numFmt w:val="decimal"/>
      <w:lvlText w:val="%4."/>
      <w:lvlJc w:val="left"/>
      <w:pPr>
        <w:ind w:hanging="420" w:left="1680"/>
      </w:pPr>
    </w:lvl>
    <w:lvl w:ilvl="4" w:tentative="1">
      <w:start w:val="1"/>
      <w:numFmt w:val="lowerLetter"/>
      <w:lvlText w:val="%5)"/>
      <w:lvlJc w:val="left"/>
      <w:pPr>
        <w:ind w:hanging="420" w:left="2100"/>
      </w:pPr>
    </w:lvl>
    <w:lvl w:ilvl="5" w:tentative="1">
      <w:start w:val="1"/>
      <w:numFmt w:val="lowerRoman"/>
      <w:lvlText w:val="%6."/>
      <w:lvlJc w:val="right"/>
      <w:pPr>
        <w:ind w:hanging="420" w:left="2520"/>
      </w:pPr>
    </w:lvl>
    <w:lvl w:ilvl="6" w:tentative="1">
      <w:start w:val="1"/>
      <w:numFmt w:val="decimal"/>
      <w:lvlText w:val="%7."/>
      <w:lvlJc w:val="left"/>
      <w:pPr>
        <w:ind w:hanging="420" w:left="2940"/>
      </w:pPr>
    </w:lvl>
    <w:lvl w:ilvl="7" w:tentative="1">
      <w:start w:val="1"/>
      <w:numFmt w:val="lowerLetter"/>
      <w:lvlText w:val="%8)"/>
      <w:lvlJc w:val="left"/>
      <w:pPr>
        <w:ind w:hanging="420" w:left="3360"/>
      </w:pPr>
    </w:lvl>
    <w:lvl w:ilvl="8" w:tentative="1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nsid w:val="4B316E35"/>
    <w:multiLevelType w:val="hybridMultilevel"/>
    <w:tmpl w:val="E56CEAD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hanging="420" w:left="840"/>
      </w:pPr>
    </w:lvl>
    <w:lvl w:ilvl="2" w:tentative="1">
      <w:start w:val="1"/>
      <w:numFmt w:val="lowerRoman"/>
      <w:lvlText w:val="%3."/>
      <w:lvlJc w:val="right"/>
      <w:pPr>
        <w:ind w:hanging="420" w:left="1260"/>
      </w:pPr>
    </w:lvl>
    <w:lvl w:ilvl="3" w:tentative="1">
      <w:start w:val="1"/>
      <w:numFmt w:val="decimal"/>
      <w:lvlText w:val="%4."/>
      <w:lvlJc w:val="left"/>
      <w:pPr>
        <w:ind w:hanging="420" w:left="1680"/>
      </w:pPr>
    </w:lvl>
    <w:lvl w:ilvl="4" w:tentative="1">
      <w:start w:val="1"/>
      <w:numFmt w:val="lowerLetter"/>
      <w:lvlText w:val="%5)"/>
      <w:lvlJc w:val="left"/>
      <w:pPr>
        <w:ind w:hanging="420" w:left="2100"/>
      </w:pPr>
    </w:lvl>
    <w:lvl w:ilvl="5" w:tentative="1">
      <w:start w:val="1"/>
      <w:numFmt w:val="lowerRoman"/>
      <w:lvlText w:val="%6."/>
      <w:lvlJc w:val="right"/>
      <w:pPr>
        <w:ind w:hanging="420" w:left="2520"/>
      </w:pPr>
    </w:lvl>
    <w:lvl w:ilvl="6" w:tentative="1">
      <w:start w:val="1"/>
      <w:numFmt w:val="decimal"/>
      <w:lvlText w:val="%7."/>
      <w:lvlJc w:val="left"/>
      <w:pPr>
        <w:ind w:hanging="420" w:left="2940"/>
      </w:pPr>
    </w:lvl>
    <w:lvl w:ilvl="7" w:tentative="1">
      <w:start w:val="1"/>
      <w:numFmt w:val="lowerLetter"/>
      <w:lvlText w:val="%8)"/>
      <w:lvlJc w:val="left"/>
      <w:pPr>
        <w:ind w:hanging="420" w:left="3360"/>
      </w:pPr>
    </w:lvl>
    <w:lvl w:ilvl="8" w:tentative="1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 w:val="0"/>
      <w:jc w:val="both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semiHidden/>
    <w:unhideWhenUsed/>
    <w:rsid w:val="00837DC0"/>
    <w:rPr>
      <w:color w:val="0000FF"/>
      <w:u w:val="single"/>
    </w:rPr>
  </w:style>
  <w:style w:styleId="ListParagraph" w:type="paragraph">
    <w:name w:val="List Paragraph"/>
    <w:basedOn w:val="Normal"/>
    <w:uiPriority w:val="34"/>
    <w:qFormat/>
    <w:rsid w:val="005C3F31"/>
    <w:pPr>
      <w:ind w:firstLine="420" w:firstLineChars="200"/>
    </w:pPr>
  </w:style>
  <w:style w:styleId="Header" w:type="paragraph">
    <w:name w:val="header"/>
    <w:basedOn w:val="Normal"/>
    <w:link w:val="Char"/>
    <w:uiPriority w:val="99"/>
    <w:unhideWhenUsed/>
    <w:rsid w:val="00A268B2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DefaultParagraphFont"/>
    <w:link w:val="Header"/>
    <w:uiPriority w:val="99"/>
    <w:rsid w:val="00A268B2"/>
    <w:rPr>
      <w:sz w:val="18"/>
      <w:szCs w:val="18"/>
    </w:rPr>
  </w:style>
  <w:style w:styleId="Footer" w:type="paragraph">
    <w:name w:val="footer"/>
    <w:basedOn w:val="Normal"/>
    <w:link w:val="Char0"/>
    <w:uiPriority w:val="99"/>
    <w:unhideWhenUsed/>
    <w:rsid w:val="00A268B2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DefaultParagraphFont"/>
    <w:link w:val="Footer"/>
    <w:uiPriority w:val="99"/>
    <w:rsid w:val="00A26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header3.xml" Type="http://schemas.openxmlformats.org/officeDocument/2006/relationships/header"/><Relationship Id="rId7" Target="theme/theme1.xml" Type="http://schemas.openxmlformats.org/officeDocument/2006/relationships/theme"/><Relationship Id="rId8" Target="numbering.xml" Type="http://schemas.openxmlformats.org/officeDocument/2006/relationships/numbering"/><Relationship Id="rId9" Target="styles.xml" Type="http://schemas.openxmlformats.org/officeDocument/2006/relationships/styl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176</Words>
  <Characters>1006</Characters>
  <Application>Microsoft Office Word</Application>
  <DocSecurity>0</DocSecurity>
  <Lines>8</Lines>
  <Paragraphs>2</Paragraphs>
  <ScaleCrop>false</ScaleCrop>
  <Company>china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国泰君安证券股份有限公司*Re: CTS、FI对客系统_增加业务品种维护功能*liuhao014618@gtjas.com*luoxiaoxiao@gtjas.com * *shenweicheng@erayt.com,chennan@erayt.com,xiang.wei@xquant.com,zaian.gui@xquant.com,zhuhb@gtjas.com,chenhaifeng007810@gtjas.com *2022-04-28 14:04:58;</cp:contentStatus>
  <dcterms:created xsi:type="dcterms:W3CDTF">2022-04-26T08:22:00Z</dcterms:created>
  <dc:creator>刘浩</dc:creator>
  <cp:lastModifiedBy>刘浩</cp:lastModifiedBy>
  <dcterms:modified xsi:type="dcterms:W3CDTF">2022-04-26T08:27:00Z</dcterms:modified>
  <cp:revision>5</cp:revision>
</cp:coreProperties>
</file>