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left"/>
      </w:pPr>
      <w:r>
        <w:rPr>
          <w:rFonts w:ascii="Calibri" w:hAnsi="Calibri"/>
          <w:b/>
          <w:i w:val="0"/>
          <w:color w:val="1E4F5A"/>
          <w:sz w:val="19"/>
          <w:spacing w:val="28"/>
        </w:rPr>
        <w:t>ENTREGABLE 4  ·  CONSULTORÍA ENANDES</w:t>
      </w:r>
    </w:p>
    <w:p>
      <w:pPr>
        <w:spacing w:before="0" w:after="120" w:line="252" w:lineRule="auto"/>
        <w:jc w:val="left"/>
      </w:pPr>
      <w:r>
        <w:rPr>
          <w:rFonts w:ascii="Calibri" w:hAnsi="Calibri"/>
          <w:b/>
          <w:i w:val="0"/>
          <w:color w:val="1A2428"/>
          <w:sz w:val="34"/>
        </w:rPr>
        <w:t>Acceso a las salidas de pronóstico mediante servicios web y transferencia del procedimiento</w:t>
      </w:r>
    </w:p>
    <w:p>
      <w:pPr>
        <w:spacing w:before="0" w:after="280" w:line="276" w:lineRule="auto"/>
        <w:jc w:val="left"/>
        <w:pBdr>
          <w:bottom w:val="single" w:sz="12" w:space="0" w:color="1A2428"/>
        </w:pBdr>
      </w:pPr>
      <w:r>
        <w:rPr>
          <w:rFonts w:ascii="Cambria" w:hAnsi="Cambria"/>
          <w:b w:val="0"/>
          <w:i/>
          <w:color w:val="44555B"/>
          <w:sz w:val="23"/>
        </w:rPr>
        <w:t>Automatización e implementación de procedimientos operativos para el pronóstico hidrológico del río Pilcomayo en Misión La Paz</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81"/>
        <w:gridCol w:w="6690"/>
      </w:tblGrid>
      <w:tr>
        <w:tc>
          <w:tcPr>
            <w:tcW w:type="dxa" w:w="2381"/>
          </w:tcPr>
          <w:p>
            <w:pPr>
              <w:spacing w:after="60"/>
            </w:pPr>
            <w:r>
              <w:rPr>
                <w:rFonts w:ascii="Calibri" w:hAnsi="Calibri"/>
                <w:b/>
                <w:i w:val="0"/>
                <w:color w:val="6B7D83"/>
                <w:sz w:val="17"/>
                <w:spacing w:val="16"/>
              </w:rPr>
              <w:t>PERÍODO</w:t>
            </w:r>
          </w:p>
        </w:tc>
        <w:tc>
          <w:tcPr>
            <w:tcW w:type="dxa" w:w="6690"/>
          </w:tcPr>
          <w:p>
            <w:pPr>
              <w:spacing w:after="60"/>
            </w:pPr>
            <w:r>
              <w:rPr>
                <w:rFonts w:ascii="Calibri" w:hAnsi="Calibri"/>
                <w:b w:val="0"/>
                <w:i/>
                <w:color w:val="8A4A0A"/>
                <w:sz w:val="20"/>
                <w:highlight w:val="yellow"/>
              </w:rPr>
              <w:t>mayo – agosto de 2026 · confirmar</w:t>
            </w:r>
          </w:p>
        </w:tc>
      </w:tr>
      <w:tr>
        <w:tc>
          <w:tcPr>
            <w:tcW w:type="dxa" w:w="2381"/>
          </w:tcPr>
          <w:p>
            <w:pPr>
              <w:spacing w:after="60"/>
            </w:pPr>
            <w:r>
              <w:rPr>
                <w:rFonts w:ascii="Calibri" w:hAnsi="Calibri"/>
                <w:b/>
                <w:i w:val="0"/>
                <w:color w:val="6B7D83"/>
                <w:sz w:val="17"/>
                <w:spacing w:val="16"/>
              </w:rPr>
              <w:t>REPOSITORIO</w:t>
            </w:r>
          </w:p>
        </w:tc>
        <w:tc>
          <w:tcPr>
            <w:tcW w:type="dxa" w:w="6690"/>
          </w:tcPr>
          <w:p>
            <w:pPr>
              <w:spacing w:after="60"/>
            </w:pPr>
            <w:r>
              <w:rPr>
                <w:rFonts w:ascii="Calibri" w:hAnsi="Calibri"/>
                <w:b w:val="0"/>
                <w:i w:val="0"/>
                <w:color w:val="1A2428"/>
                <w:sz w:val="20"/>
              </w:rPr>
              <w:t>https://github.com/guizzardi07/Enandes.git</w:t>
            </w:r>
          </w:p>
        </w:tc>
      </w:tr>
      <w:tr>
        <w:tc>
          <w:tcPr>
            <w:tcW w:type="dxa" w:w="2381"/>
          </w:tcPr>
          <w:p>
            <w:pPr>
              <w:spacing w:after="60"/>
            </w:pPr>
            <w:r>
              <w:rPr>
                <w:rFonts w:ascii="Calibri" w:hAnsi="Calibri"/>
                <w:b/>
                <w:i w:val="0"/>
                <w:color w:val="6B7D83"/>
                <w:sz w:val="17"/>
                <w:spacing w:val="16"/>
              </w:rPr>
              <w:t>SERVICIO DE DATOS</w:t>
            </w:r>
          </w:p>
        </w:tc>
        <w:tc>
          <w:tcPr>
            <w:tcW w:type="dxa" w:w="6690"/>
          </w:tcPr>
          <w:p>
            <w:pPr>
              <w:spacing w:after="60"/>
            </w:pPr>
            <w:r>
              <w:rPr>
                <w:rFonts w:ascii="Calibri" w:hAnsi="Calibri"/>
                <w:b w:val="0"/>
                <w:i w:val="0"/>
                <w:color w:val="1A2428"/>
                <w:sz w:val="20"/>
              </w:rPr>
              <w:t xml:space="preserve">API A5 del INA · </w:t>
            </w:r>
            <w:r>
              <w:rPr>
                <w:rFonts w:ascii="Consolas" w:hAnsi="Consolas"/>
                <w:b w:val="0"/>
                <w:i w:val="0"/>
                <w:color w:val="1E4F5A"/>
                <w:sz w:val="19"/>
              </w:rPr>
              <w:t>https://alerta.ina.gob.ar/a6</w:t>
            </w:r>
          </w:p>
        </w:tc>
      </w:tr>
      <w:tr>
        <w:tc>
          <w:tcPr>
            <w:tcW w:type="dxa" w:w="2381"/>
          </w:tcPr>
          <w:p>
            <w:pPr>
              <w:spacing w:after="60"/>
            </w:pPr>
            <w:r>
              <w:rPr>
                <w:rFonts w:ascii="Calibri" w:hAnsi="Calibri"/>
                <w:b/>
                <w:i w:val="0"/>
                <w:color w:val="6B7D83"/>
                <w:sz w:val="17"/>
                <w:spacing w:val="16"/>
              </w:rPr>
              <w:t>MOTOR DE EJECUCIÓN</w:t>
            </w:r>
          </w:p>
        </w:tc>
        <w:tc>
          <w:tcPr>
            <w:tcW w:type="dxa" w:w="6690"/>
          </w:tcPr>
          <w:p>
            <w:pPr>
              <w:spacing w:after="60"/>
            </w:pPr>
            <w:r>
              <w:rPr>
                <w:rFonts w:ascii="Calibri" w:hAnsi="Calibri"/>
                <w:b w:val="0"/>
                <w:i w:val="0"/>
                <w:color w:val="1A2428"/>
                <w:sz w:val="20"/>
              </w:rPr>
              <w:t xml:space="preserve">pydrodelta · </w:t>
            </w:r>
            <w:r>
              <w:rPr>
                <w:rFonts w:ascii="Consolas" w:hAnsi="Consolas"/>
                <w:b w:val="0"/>
                <w:i w:val="0"/>
                <w:color w:val="1E4F5A"/>
                <w:sz w:val="19"/>
              </w:rPr>
              <w:t>https://github.com/jbianchi81/pydrodelta</w:t>
            </w:r>
          </w:p>
        </w:tc>
      </w:tr>
    </w:tbl>
    <w:p>
      <w:pPr>
        <w:spacing w:before="0" w:after="40" w:line="276" w:lineRule="auto"/>
        <w:jc w:val="both"/>
      </w:pPr>
    </w:p>
    <w:p>
      <w:pPr>
        <w:spacing w:before="120" w:after="160" w:line="276" w:lineRule="auto"/>
        <w:jc w:val="both"/>
      </w:pPr>
      <w:r>
        <w:rPr>
          <w:rFonts w:ascii="Cambria" w:hAnsi="Cambria"/>
          <w:b w:val="0"/>
          <w:i w:val="0"/>
          <w:color w:val="1A2428"/>
          <w:sz w:val="22"/>
        </w:rPr>
        <w:t>En el presente informe se describen las actividades realizadas en el marco del cuarto entregable de la consultoría en asistencia para el desarrollo de productos climáticos. Conforme a lo establecido en los Términos de Referencia (TdR), este entregable comprende la generación de accesos a las salidas de los productos de pronóstico hidrológico a través de servicios web, junto con la transferencia del conocimiento necesario para la elaboración de servicios, su documentación e instrucciones de uso.</w:t>
      </w:r>
    </w:p>
    <w:p>
      <w:pPr>
        <w:spacing w:before="0" w:after="160" w:line="276" w:lineRule="auto"/>
        <w:jc w:val="both"/>
      </w:pPr>
      <w:r>
        <w:rPr>
          <w:rFonts w:ascii="Cambria" w:hAnsi="Cambria"/>
          <w:b w:val="0"/>
          <w:i w:val="0"/>
          <w:color w:val="1A2428"/>
          <w:sz w:val="22"/>
        </w:rPr>
        <w:t xml:space="preserve">Los Entregables 2 y 3 dejaron operativo un sistema completo de pronóstico —de corto plazo y subestacional— para la estación Misión La Paz, ejecutable desde un tablero interactivo. Sin embargo, ese sistema seguía siendo una aplicación de escritorio: producía sus resultados como archivos locales (CSV y gráficos) y el procedimiento vivía únicamente dentro del código de la aplicación. El objetivo de esta etapa fue cerrar esa brecha, integrando el sistema con </w:t>
      </w:r>
      <w:r>
        <w:rPr>
          <w:rFonts w:ascii="Cambria" w:hAnsi="Cambria"/>
          <w:b/>
          <w:i w:val="0"/>
          <w:color w:val="1A2428"/>
          <w:sz w:val="22"/>
        </w:rPr>
        <w:t>pydrodelta</w:t>
      </w:r>
      <w:r>
        <w:rPr>
          <w:rFonts w:ascii="Cambria" w:hAnsi="Cambria"/>
          <w:b w:val="0"/>
          <w:i w:val="0"/>
          <w:color w:val="1A2428"/>
          <w:sz w:val="22"/>
        </w:rPr>
        <w:t>, la biblioteca de modelación hidrológica del INA, de modo que los procedimientos desarrollados puedan ejecutarse dentro de la infraestructura institucional y sus salidas queden publicadas en la API A5, accesibles por servicio web como cualquier otro producto de pronóstico del organismo.</w:t>
      </w:r>
    </w:p>
    <w:p>
      <w:pPr>
        <w:spacing w:before="0" w:after="160" w:line="276" w:lineRule="auto"/>
        <w:jc w:val="both"/>
      </w:pPr>
      <w:r>
        <w:rPr>
          <w:rFonts w:ascii="Cambria" w:hAnsi="Cambria"/>
          <w:b w:val="0"/>
          <w:i w:val="0"/>
          <w:color w:val="1A2428"/>
          <w:sz w:val="22"/>
        </w:rPr>
        <w:t xml:space="preserve">El mecanismo de integración es el </w:t>
      </w:r>
      <w:r>
        <w:rPr>
          <w:rFonts w:ascii="Cambria" w:hAnsi="Cambria"/>
          <w:b w:val="0"/>
          <w:i/>
          <w:color w:val="1A2428"/>
          <w:sz w:val="22"/>
        </w:rPr>
        <w:t>plan</w:t>
      </w:r>
      <w:r>
        <w:rPr>
          <w:rFonts w:ascii="Cambria" w:hAnsi="Cambria"/>
          <w:b w:val="0"/>
          <w:i w:val="0"/>
          <w:color w:val="1A2428"/>
          <w:sz w:val="22"/>
        </w:rPr>
        <w:t xml:space="preserve"> de pydrodelta: un archivo YAML que describe de forma declarativa la topología de nodos y series, los procedimientos de cálculo a aplicar y los destinos de las salidas. La aplicación fue extendida para que, a medida que el usuario configura el pronóstico en el tablero, se vaya construyendo en paralelo el plan correspondiente, listo para ejecutar. De este modo el tablero pasa a cumplir también la función de asistente para la elaboración de estos planes, que hasta ahora se escribían íntegramente a mano.</w:t>
      </w:r>
    </w:p>
    <w:p>
      <w:pPr>
        <w:spacing w:before="440" w:after="200" w:line="276" w:lineRule="auto"/>
        <w:jc w:val="left"/>
        <w:pBdr>
          <w:bottom w:val="single" w:sz="8" w:space="0" w:color="BFC9C9"/>
        </w:pBdr>
      </w:pPr>
      <w:r>
        <w:rPr>
          <w:rFonts w:ascii="Calibri" w:hAnsi="Calibri"/>
          <w:b/>
          <w:i w:val="0"/>
          <w:color w:val="6B7D83"/>
          <w:sz w:val="20"/>
          <w:spacing w:val="24"/>
        </w:rPr>
        <w:t>ACTIVIDADES REALIZADAS</w:t>
      </w:r>
    </w:p>
    <w:p>
      <w:pPr>
        <w:spacing w:before="320" w:after="120" w:line="276" w:lineRule="auto"/>
        <w:jc w:val="left"/>
      </w:pPr>
      <w:r>
        <w:rPr>
          <w:rFonts w:ascii="Consolas" w:hAnsi="Consolas"/>
          <w:b/>
          <w:i w:val="0"/>
          <w:color w:val="1E4F5A"/>
          <w:sz w:val="22"/>
        </w:rPr>
        <w:t xml:space="preserve">01    </w:t>
      </w:r>
      <w:r>
        <w:rPr>
          <w:rFonts w:ascii="Calibri" w:hAnsi="Calibri"/>
          <w:b/>
          <w:i w:val="0"/>
          <w:color w:val="1E4F5A"/>
          <w:sz w:val="24"/>
        </w:rPr>
        <w:t>Incorporación de una pestaña de generación de planes al tablero</w:t>
      </w:r>
    </w:p>
    <w:p>
      <w:pPr>
        <w:spacing w:before="0" w:after="160" w:line="276" w:lineRule="auto"/>
        <w:jc w:val="both"/>
      </w:pPr>
      <w:r>
        <w:rPr>
          <w:rFonts w:ascii="Cambria" w:hAnsi="Cambria"/>
          <w:b w:val="0"/>
          <w:i w:val="0"/>
          <w:color w:val="1A2428"/>
          <w:sz w:val="22"/>
        </w:rPr>
        <w:t xml:space="preserve">Se agregó a la aplicación una tercera pestaña, </w:t>
      </w:r>
      <w:r>
        <w:rPr>
          <w:rFonts w:ascii="Cambria" w:hAnsi="Cambria"/>
          <w:b w:val="0"/>
          <w:i/>
          <w:color w:val="1A2428"/>
          <w:sz w:val="22"/>
        </w:rPr>
        <w:t>Plan pydrodelta</w:t>
      </w:r>
      <w:r>
        <w:rPr>
          <w:rFonts w:ascii="Cambria" w:hAnsi="Cambria"/>
          <w:b w:val="0"/>
          <w:i w:val="0"/>
          <w:color w:val="1A2428"/>
          <w:sz w:val="22"/>
        </w:rPr>
        <w:t xml:space="preserve">, y un módulo nuevo, </w:t>
      </w:r>
      <w:r>
        <w:rPr>
          <w:rFonts w:ascii="Consolas" w:hAnsi="Consolas"/>
          <w:b w:val="0"/>
          <w:i w:val="0"/>
          <w:color w:val="1E4F5A"/>
          <w:sz w:val="19"/>
        </w:rPr>
        <w:t>modulos/plan_builder.py</w:t>
      </w:r>
      <w:r>
        <w:rPr>
          <w:rFonts w:ascii="Cambria" w:hAnsi="Cambria"/>
          <w:b w:val="0"/>
          <w:i w:val="0"/>
          <w:color w:val="1A2428"/>
          <w:sz w:val="22"/>
        </w:rPr>
        <w:t>, que traduce el estado de configuración del tablero a planes ejecutables. La pestaña reutiliza lo ya cargado en los otros dos flujos —estaciones, parámetros de limpieza, lags estimados, ventana de calibración, parámetros del método de analogías— de manera que el plan no exige volver a cargar nada.</w:t>
      </w:r>
    </w:p>
    <w:p>
      <w:pPr>
        <w:spacing w:before="0" w:after="160" w:line="276" w:lineRule="auto"/>
        <w:jc w:val="both"/>
      </w:pPr>
      <w:r>
        <w:rPr>
          <w:rFonts w:ascii="Cambria" w:hAnsi="Cambria"/>
          <w:b w:val="0"/>
          <w:i w:val="0"/>
          <w:color w:val="1A2428"/>
          <w:sz w:val="22"/>
        </w:rPr>
        <w:t>Se generan dos familias de planes independientes, correspondientes a los dos productos del sistema:</w:t>
      </w:r>
    </w:p>
    <w:p>
      <w:pPr>
        <w:pStyle w:val="ListBullet"/>
        <w:spacing w:before="0" w:after="80" w:line="264" w:lineRule="auto"/>
        <w:jc w:val="left"/>
      </w:pPr>
      <w:r>
        <w:rPr>
          <w:rFonts w:ascii="Cambria" w:hAnsi="Cambria"/>
          <w:b/>
          <w:i w:val="0"/>
          <w:color w:val="1A2428"/>
          <w:sz w:val="22"/>
        </w:rPr>
        <w:t>Planes operativos</w:t>
      </w:r>
      <w:r>
        <w:rPr>
          <w:rFonts w:ascii="Cambria" w:hAnsi="Cambria"/>
          <w:b w:val="0"/>
          <w:i w:val="0"/>
          <w:color w:val="1A2428"/>
          <w:sz w:val="22"/>
        </w:rPr>
        <w:t xml:space="preserve"> (paso horario), con un procedimiento </w:t>
      </w:r>
      <w:r>
        <w:rPr>
          <w:rFonts w:ascii="Consolas" w:hAnsi="Consolas"/>
          <w:b w:val="0"/>
          <w:i w:val="0"/>
          <w:color w:val="1E4F5A"/>
          <w:sz w:val="19"/>
        </w:rPr>
        <w:t>LinearFit</w:t>
      </w:r>
      <w:r>
        <w:rPr>
          <w:rFonts w:ascii="Cambria" w:hAnsi="Cambria"/>
          <w:b w:val="0"/>
          <w:i w:val="0"/>
          <w:color w:val="1A2428"/>
          <w:sz w:val="22"/>
        </w:rPr>
        <w:t xml:space="preserve"> que ajusta el modelo nivel–nivel entre una estación aguas arriba y Misión La Paz.</w:t>
      </w:r>
    </w:p>
    <w:p>
      <w:pPr>
        <w:pStyle w:val="ListBullet"/>
        <w:spacing w:before="0" w:after="80" w:line="264" w:lineRule="auto"/>
        <w:jc w:val="left"/>
      </w:pPr>
      <w:r>
        <w:rPr>
          <w:rFonts w:ascii="Cambria" w:hAnsi="Cambria"/>
          <w:b/>
          <w:i w:val="0"/>
          <w:color w:val="1A2428"/>
          <w:sz w:val="22"/>
        </w:rPr>
        <w:t>Plan subestacional</w:t>
      </w:r>
      <w:r>
        <w:rPr>
          <w:rFonts w:ascii="Cambria" w:hAnsi="Cambria"/>
          <w:b w:val="0"/>
          <w:i w:val="0"/>
          <w:color w:val="1A2428"/>
          <w:sz w:val="22"/>
        </w:rPr>
        <w:t xml:space="preserve"> (paso mensual), con los procedimientos </w:t>
      </w:r>
      <w:r>
        <w:rPr>
          <w:rFonts w:ascii="Consolas" w:hAnsi="Consolas"/>
          <w:b w:val="0"/>
          <w:i w:val="0"/>
          <w:color w:val="1E4F5A"/>
          <w:sz w:val="19"/>
        </w:rPr>
        <w:t>Persistence</w:t>
      </w:r>
      <w:r>
        <w:rPr>
          <w:rFonts w:ascii="Cambria" w:hAnsi="Cambria"/>
          <w:b w:val="0"/>
          <w:i w:val="0"/>
          <w:color w:val="1A2428"/>
          <w:sz w:val="22"/>
        </w:rPr>
        <w:t xml:space="preserve"> y </w:t>
      </w:r>
      <w:r>
        <w:rPr>
          <w:rFonts w:ascii="Consolas" w:hAnsi="Consolas"/>
          <w:b w:val="0"/>
          <w:i w:val="0"/>
          <w:color w:val="1E4F5A"/>
          <w:sz w:val="19"/>
        </w:rPr>
        <w:t>Analogy</w:t>
      </w:r>
      <w:r>
        <w:rPr>
          <w:rFonts w:ascii="Cambria" w:hAnsi="Cambria"/>
          <w:b w:val="0"/>
          <w:i w:val="0"/>
          <w:color w:val="1A2428"/>
          <w:sz w:val="22"/>
        </w:rPr>
        <w:t>, que en pydrodelta ya implementan la persistencia de cuantiles y las analogías históricas descritas en el Entregable 3.</w:t>
      </w:r>
    </w:p>
    <w:tbl>
      <w:tblPr>
        <w:tblW w:type="auto" w:w="0"/>
        <w:jc w:val="center"/>
        <w:tblLayout w:type="fixed"/>
        <w:tblLook w:firstColumn="1" w:firstRow="1" w:lastColumn="0" w:lastRow="0" w:noHBand="0" w:noVBand="1" w:val="04A0"/>
        <w:tblBorders>
          <w:top w:val="dashed" w:sz="6" w:space="0" w:color="BFC9C9"/>
          <w:left w:val="dashed" w:sz="6" w:space="0" w:color="BFC9C9"/>
          <w:bottom w:val="dashed" w:sz="6" w:space="0" w:color="BFC9C9"/>
          <w:right w:val="dashed" w:sz="6" w:space="0" w:color="BFC9C9"/>
          <w:insideH w:val="none" w:sz="0" w:space="0" w:color="auto"/>
          <w:insideV w:val="none" w:sz="0" w:space="0" w:color="auto"/>
        </w:tblBorders>
      </w:tblPr>
      <w:tblGrid>
        <w:gridCol w:w="9071"/>
      </w:tblGrid>
      <w:tr>
        <w:trPr>
          <w:trHeight w:val="4252" w:hRule="atLeast"/>
        </w:trPr>
        <w:tc>
          <w:tcPr>
            <w:tcW w:type="dxa" w:w="9071"/>
          </w:tcPr>
          <w:p>
            <w:pPr>
              <w:spacing w:before="1960"/>
              <w:jc w:val="center"/>
            </w:pPr>
            <w:r>
              <w:rPr>
                <w:rFonts w:ascii="Calibri" w:hAnsi="Calibri"/>
                <w:b w:val="0"/>
                <w:i/>
                <w:color w:val="6B7D83"/>
                <w:sz w:val="20"/>
              </w:rPr>
              <w:t>[ espacio para la figura ]</w:t>
            </w:r>
          </w:p>
        </w:tc>
      </w:tr>
    </w:tbl>
    <w:p>
      <w:pPr>
        <w:spacing w:before="120" w:after="280" w:line="276" w:lineRule="auto"/>
        <w:jc w:val="center"/>
      </w:pPr>
      <w:r>
        <w:rPr>
          <w:rFonts w:ascii="Calibri" w:hAnsi="Calibri"/>
          <w:b/>
          <w:i w:val="0"/>
          <w:color w:val="44555B"/>
          <w:sz w:val="19"/>
        </w:rPr>
        <w:t>Figura 1</w:t>
      </w:r>
      <w:r>
        <w:rPr>
          <w:rFonts w:ascii="Calibri" w:hAnsi="Calibri"/>
          <w:b w:val="0"/>
          <w:i w:val="0"/>
          <w:color w:val="44555B"/>
          <w:sz w:val="19"/>
        </w:rPr>
        <w:t xml:space="preserve"> – Pestaña Plan pydrodelta: selección de estaciones, ventanas y series de salida.</w:t>
      </w:r>
    </w:p>
    <w:p>
      <w:pPr>
        <w:spacing w:before="320" w:after="120" w:line="276" w:lineRule="auto"/>
        <w:jc w:val="left"/>
      </w:pPr>
      <w:r>
        <w:rPr>
          <w:rFonts w:ascii="Consolas" w:hAnsi="Consolas"/>
          <w:b/>
          <w:i w:val="0"/>
          <w:color w:val="1E4F5A"/>
          <w:sz w:val="22"/>
        </w:rPr>
        <w:t xml:space="preserve">02    </w:t>
      </w:r>
      <w:r>
        <w:rPr>
          <w:rFonts w:ascii="Calibri" w:hAnsi="Calibri"/>
          <w:b/>
          <w:i w:val="0"/>
          <w:color w:val="1E4F5A"/>
          <w:sz w:val="24"/>
        </w:rPr>
        <w:t>Traducción de la configuración de la aplicación al lenguaje del plan</w:t>
      </w:r>
    </w:p>
    <w:p>
      <w:pPr>
        <w:spacing w:before="0" w:after="160" w:line="276" w:lineRule="auto"/>
        <w:jc w:val="both"/>
      </w:pPr>
      <w:r>
        <w:rPr>
          <w:rFonts w:ascii="Cambria" w:hAnsi="Cambria"/>
          <w:b w:val="0"/>
          <w:i w:val="0"/>
          <w:color w:val="1A2428"/>
          <w:sz w:val="22"/>
        </w:rPr>
        <w:t>El trabajo central de esta etapa consistió en establecer la correspondencia entre cada decisión que el usuario toma en el tablero y su expresión dentro del plan. Los identificadores no se reconstruyen ni se asumen: se conservan los que devuelve la propia API A5 al descargar cada serie, de modo que el plan queda referido a las mismas entidades institucionales que la aplicación.</w:t>
      </w:r>
    </w:p>
    <w:tbl>
      <w:tblPr>
        <w:tblW w:type="auto" w:w="0"/>
        <w:tblLayout w:type="fixed"/>
        <w:tblLook w:firstColumn="1" w:firstRow="1" w:lastColumn="0" w:lastRow="0" w:noHBand="0" w:noVBand="1" w:val="04A0"/>
        <w:tblBorders>
          <w:top w:val="single" w:sz="8" w:space="0" w:color="BFC9C9"/>
          <w:left w:val="none" w:sz="0" w:space="0" w:color="auto"/>
          <w:bottom w:val="single" w:sz="8" w:space="0" w:color="BFC9C9"/>
          <w:right w:val="none" w:sz="0" w:space="0" w:color="auto"/>
          <w:insideH w:val="single" w:sz="4" w:space="0" w:color="DCE3E2"/>
          <w:insideV w:val="none" w:sz="0" w:space="0" w:color="auto"/>
        </w:tblBorders>
      </w:tblPr>
      <w:tblGrid>
        <w:gridCol w:w="2835"/>
        <w:gridCol w:w="6236"/>
      </w:tblGrid>
      <w:tr>
        <w:tc>
          <w:tcPr>
            <w:tcW w:type="dxa" w:w="2835"/>
            <w:shd w:val="clear" w:color="auto" w:fill="EDF2F2"/>
          </w:tcPr>
          <w:p>
            <w:pPr>
              <w:spacing w:before="80" w:after="80"/>
            </w:pPr>
            <w:r>
              <w:rPr>
                <w:rFonts w:ascii="Calibri" w:hAnsi="Calibri"/>
                <w:b/>
                <w:i w:val="0"/>
                <w:color w:val="6B7D83"/>
                <w:sz w:val="17"/>
                <w:spacing w:val="16"/>
              </w:rPr>
              <w:t>CONFIGURACIÓN EN EL TABLERO</w:t>
            </w:r>
          </w:p>
        </w:tc>
        <w:tc>
          <w:tcPr>
            <w:tcW w:type="dxa" w:w="6236"/>
            <w:shd w:val="clear" w:color="auto" w:fill="EDF2F2"/>
          </w:tcPr>
          <w:p>
            <w:pPr>
              <w:spacing w:before="80" w:after="80"/>
            </w:pPr>
            <w:r>
              <w:rPr>
                <w:rFonts w:ascii="Calibri" w:hAnsi="Calibri"/>
                <w:b/>
                <w:i w:val="0"/>
                <w:color w:val="6B7D83"/>
                <w:sz w:val="17"/>
                <w:spacing w:val="16"/>
              </w:rPr>
              <w:t>EXPRESIÓN EN EL PLAN</w:t>
            </w:r>
          </w:p>
        </w:tc>
      </w:tr>
      <w:tr>
        <w:tc>
          <w:tcPr>
            <w:tcW w:type="dxa" w:w="2835"/>
          </w:tcPr>
          <w:p>
            <w:pPr>
              <w:spacing w:before="80" w:after="80"/>
            </w:pPr>
            <w:r>
              <w:rPr>
                <w:rFonts w:ascii="Calibri" w:hAnsi="Calibri"/>
                <w:b w:val="0"/>
                <w:i w:val="0"/>
                <w:color w:val="1A2428"/>
                <w:sz w:val="19"/>
              </w:rPr>
              <w:t>Estación</w:t>
            </w:r>
          </w:p>
        </w:tc>
        <w:tc>
          <w:tcPr>
            <w:tcW w:type="dxa" w:w="6236"/>
          </w:tcPr>
          <w:p>
            <w:pPr>
              <w:spacing w:before="80" w:after="80"/>
            </w:pPr>
            <w:r>
              <w:rPr>
                <w:rFonts w:ascii="Calibri" w:hAnsi="Calibri"/>
                <w:b w:val="0"/>
                <w:i w:val="0"/>
                <w:color w:val="44555B"/>
                <w:sz w:val="19"/>
              </w:rPr>
              <w:t xml:space="preserve">Nodo con </w:t>
            </w:r>
            <w:r>
              <w:rPr>
                <w:rFonts w:ascii="Consolas" w:hAnsi="Consolas"/>
                <w:b w:val="0"/>
                <w:i w:val="0"/>
                <w:color w:val="1E4F5A"/>
                <w:sz w:val="19"/>
              </w:rPr>
              <w:t>id</w:t>
            </w:r>
            <w:r>
              <w:rPr>
                <w:rFonts w:ascii="Calibri" w:hAnsi="Calibri"/>
                <w:b w:val="0"/>
                <w:i w:val="0"/>
                <w:color w:val="44555B"/>
                <w:sz w:val="19"/>
              </w:rPr>
              <w:t xml:space="preserve"> = </w:t>
            </w:r>
            <w:r>
              <w:rPr>
                <w:rFonts w:ascii="Consolas" w:hAnsi="Consolas"/>
                <w:b w:val="0"/>
                <w:i w:val="0"/>
                <w:color w:val="1E4F5A"/>
                <w:sz w:val="19"/>
              </w:rPr>
              <w:t>estacion.id</w:t>
            </w:r>
            <w:r>
              <w:rPr>
                <w:rFonts w:ascii="Calibri" w:hAnsi="Calibri"/>
                <w:b w:val="0"/>
                <w:i w:val="0"/>
                <w:color w:val="44555B"/>
                <w:sz w:val="19"/>
              </w:rPr>
              <w:t xml:space="preserve"> de A5 (Misión La Paz 8175, Puente Aruma 8041, Villa Montes 8079)</w:t>
            </w:r>
          </w:p>
        </w:tc>
      </w:tr>
      <w:tr>
        <w:tc>
          <w:tcPr>
            <w:tcW w:type="dxa" w:w="2835"/>
          </w:tcPr>
          <w:p>
            <w:pPr>
              <w:spacing w:before="80" w:after="80"/>
            </w:pPr>
            <w:r>
              <w:rPr>
                <w:rFonts w:ascii="Calibri" w:hAnsi="Calibri"/>
                <w:b w:val="0"/>
                <w:i w:val="0"/>
                <w:color w:val="1A2428"/>
                <w:sz w:val="19"/>
              </w:rPr>
              <w:t>Variable</w:t>
            </w:r>
          </w:p>
        </w:tc>
        <w:tc>
          <w:tcPr>
            <w:tcW w:type="dxa" w:w="6236"/>
          </w:tcPr>
          <w:p>
            <w:pPr>
              <w:spacing w:before="80" w:after="80"/>
            </w:pPr>
            <w:r>
              <w:rPr>
                <w:rFonts w:ascii="Consolas" w:hAnsi="Consolas"/>
                <w:b w:val="0"/>
                <w:i w:val="0"/>
                <w:color w:val="1E4F5A"/>
                <w:sz w:val="19"/>
              </w:rPr>
              <w:t>id</w:t>
            </w:r>
            <w:r>
              <w:rPr>
                <w:rFonts w:ascii="Calibri" w:hAnsi="Calibri"/>
                <w:b w:val="0"/>
                <w:i w:val="0"/>
                <w:color w:val="44555B"/>
                <w:sz w:val="19"/>
              </w:rPr>
              <w:t xml:space="preserve"> = </w:t>
            </w:r>
            <w:r>
              <w:rPr>
                <w:rFonts w:ascii="Consolas" w:hAnsi="Consolas"/>
                <w:b w:val="0"/>
                <w:i w:val="0"/>
                <w:color w:val="1E4F5A"/>
                <w:sz w:val="19"/>
              </w:rPr>
              <w:t>var.id</w:t>
            </w:r>
            <w:r>
              <w:rPr>
                <w:rFonts w:ascii="Calibri" w:hAnsi="Calibri"/>
                <w:b w:val="0"/>
                <w:i w:val="0"/>
                <w:color w:val="44555B"/>
                <w:sz w:val="19"/>
              </w:rPr>
              <w:t xml:space="preserve"> de A5 (2, altura hidrométrica)</w:t>
            </w:r>
          </w:p>
        </w:tc>
      </w:tr>
      <w:tr>
        <w:tc>
          <w:tcPr>
            <w:tcW w:type="dxa" w:w="2835"/>
          </w:tcPr>
          <w:p>
            <w:pPr>
              <w:spacing w:before="80" w:after="80"/>
            </w:pPr>
            <w:r>
              <w:rPr>
                <w:rFonts w:ascii="Calibri" w:hAnsi="Calibri"/>
                <w:b w:val="0"/>
                <w:i w:val="0"/>
                <w:color w:val="1A2428"/>
                <w:sz w:val="19"/>
              </w:rPr>
              <w:t>Límites físicos y saltos</w:t>
            </w:r>
          </w:p>
        </w:tc>
        <w:tc>
          <w:tcPr>
            <w:tcW w:type="dxa" w:w="6236"/>
          </w:tcPr>
          <w:p>
            <w:pPr>
              <w:spacing w:before="80" w:after="80"/>
            </w:pPr>
            <w:r>
              <w:rPr>
                <w:rFonts w:ascii="Consolas" w:hAnsi="Consolas"/>
                <w:b w:val="0"/>
                <w:i w:val="0"/>
                <w:color w:val="1E4F5A"/>
                <w:sz w:val="19"/>
              </w:rPr>
              <w:t>lim_outliers</w:t>
            </w:r>
            <w:r>
              <w:rPr>
                <w:rFonts w:ascii="Calibri" w:hAnsi="Calibri"/>
                <w:b w:val="0"/>
                <w:i w:val="0"/>
                <w:color w:val="44555B"/>
                <w:sz w:val="19"/>
              </w:rPr>
              <w:t xml:space="preserve"> y </w:t>
            </w:r>
            <w:r>
              <w:rPr>
                <w:rFonts w:ascii="Consolas" w:hAnsi="Consolas"/>
                <w:b w:val="0"/>
                <w:i w:val="0"/>
                <w:color w:val="1E4F5A"/>
                <w:sz w:val="19"/>
              </w:rPr>
              <w:t>lim_jump</w:t>
            </w:r>
            <w:r>
              <w:rPr>
                <w:rFonts w:ascii="Calibri" w:hAnsi="Calibri"/>
                <w:b w:val="0"/>
                <w:i w:val="0"/>
                <w:color w:val="44555B"/>
                <w:sz w:val="19"/>
              </w:rPr>
              <w:t xml:space="preserve"> por serie</w:t>
            </w:r>
          </w:p>
        </w:tc>
      </w:tr>
      <w:tr>
        <w:tc>
          <w:tcPr>
            <w:tcW w:type="dxa" w:w="2835"/>
          </w:tcPr>
          <w:p>
            <w:pPr>
              <w:spacing w:before="80" w:after="80"/>
            </w:pPr>
            <w:r>
              <w:rPr>
                <w:rFonts w:ascii="Calibri" w:hAnsi="Calibri"/>
                <w:b w:val="0"/>
                <w:i w:val="0"/>
                <w:color w:val="1A2428"/>
                <w:sz w:val="19"/>
              </w:rPr>
              <w:t>Lag por correlación cruzada</w:t>
            </w:r>
          </w:p>
        </w:tc>
        <w:tc>
          <w:tcPr>
            <w:tcW w:type="dxa" w:w="6236"/>
          </w:tcPr>
          <w:p>
            <w:pPr>
              <w:spacing w:before="80" w:after="80"/>
            </w:pPr>
            <w:r>
              <w:rPr>
                <w:rFonts w:ascii="Consolas" w:hAnsi="Consolas"/>
                <w:b w:val="0"/>
                <w:i w:val="0"/>
                <w:color w:val="1E4F5A"/>
                <w:sz w:val="19"/>
              </w:rPr>
              <w:t>x_offset</w:t>
            </w:r>
            <w:r>
              <w:rPr>
                <w:rFonts w:ascii="Calibri" w:hAnsi="Calibri"/>
                <w:b w:val="0"/>
                <w:i w:val="0"/>
                <w:color w:val="44555B"/>
                <w:sz w:val="19"/>
              </w:rPr>
              <w:t xml:space="preserve"> de la serie aguas arriba</w:t>
            </w:r>
          </w:p>
        </w:tc>
      </w:tr>
      <w:tr>
        <w:tc>
          <w:tcPr>
            <w:tcW w:type="dxa" w:w="2835"/>
          </w:tcPr>
          <w:p>
            <w:pPr>
              <w:spacing w:before="80" w:after="80"/>
            </w:pPr>
            <w:r>
              <w:rPr>
                <w:rFonts w:ascii="Calibri" w:hAnsi="Calibri"/>
                <w:b w:val="0"/>
                <w:i w:val="0"/>
                <w:color w:val="1A2428"/>
                <w:sz w:val="19"/>
              </w:rPr>
              <w:t>Corrección vertical</w:t>
            </w:r>
          </w:p>
        </w:tc>
        <w:tc>
          <w:tcPr>
            <w:tcW w:type="dxa" w:w="6236"/>
          </w:tcPr>
          <w:p>
            <w:pPr>
              <w:spacing w:before="80" w:after="80"/>
            </w:pPr>
            <w:r>
              <w:rPr>
                <w:rFonts w:ascii="Consolas" w:hAnsi="Consolas"/>
                <w:b w:val="0"/>
                <w:i w:val="0"/>
                <w:color w:val="1E4F5A"/>
                <w:sz w:val="19"/>
              </w:rPr>
              <w:t>y_offset: 0</w:t>
            </w:r>
            <w:r>
              <w:rPr>
                <w:rFonts w:ascii="Calibri" w:hAnsi="Calibri"/>
                <w:b w:val="0"/>
                <w:i w:val="0"/>
                <w:color w:val="44555B"/>
                <w:sz w:val="19"/>
              </w:rPr>
              <w:t>; el corrimiento lo absorbe el intercepto que pydrodelta recalibra en cada corrida</w:t>
            </w:r>
          </w:p>
        </w:tc>
      </w:tr>
      <w:tr>
        <w:tc>
          <w:tcPr>
            <w:tcW w:type="dxa" w:w="2835"/>
          </w:tcPr>
          <w:p>
            <w:pPr>
              <w:spacing w:before="80" w:after="80"/>
            </w:pPr>
            <w:r>
              <w:rPr>
                <w:rFonts w:ascii="Calibri" w:hAnsi="Calibri"/>
                <w:b w:val="0"/>
                <w:i w:val="0"/>
                <w:color w:val="1A2428"/>
                <w:sz w:val="19"/>
              </w:rPr>
              <w:t>Ventana de calibración</w:t>
            </w:r>
          </w:p>
        </w:tc>
        <w:tc>
          <w:tcPr>
            <w:tcW w:type="dxa" w:w="6236"/>
          </w:tcPr>
          <w:p>
            <w:pPr>
              <w:spacing w:before="80" w:after="80"/>
            </w:pPr>
            <w:r>
              <w:rPr>
                <w:rFonts w:ascii="Consolas" w:hAnsi="Consolas"/>
                <w:b w:val="0"/>
                <w:i w:val="0"/>
                <w:color w:val="1E4F5A"/>
                <w:sz w:val="19"/>
              </w:rPr>
              <w:t>extra_pars.tail_steps</w:t>
            </w:r>
            <w:r>
              <w:rPr>
                <w:rFonts w:ascii="Calibri" w:hAnsi="Calibri"/>
                <w:b w:val="0"/>
                <w:i w:val="0"/>
                <w:color w:val="44555B"/>
                <w:sz w:val="19"/>
              </w:rPr>
              <w:t>, en pasos horarios</w:t>
            </w:r>
          </w:p>
        </w:tc>
      </w:tr>
      <w:tr>
        <w:tc>
          <w:tcPr>
            <w:tcW w:type="dxa" w:w="2835"/>
          </w:tcPr>
          <w:p>
            <w:pPr>
              <w:spacing w:before="80" w:after="80"/>
            </w:pPr>
            <w:r>
              <w:rPr>
                <w:rFonts w:ascii="Calibri" w:hAnsi="Calibri"/>
                <w:b w:val="0"/>
                <w:i w:val="0"/>
                <w:color w:val="1A2428"/>
                <w:sz w:val="19"/>
              </w:rPr>
              <w:t>Horizonte de pronóstico</w:t>
            </w:r>
          </w:p>
        </w:tc>
        <w:tc>
          <w:tcPr>
            <w:tcW w:type="dxa" w:w="6236"/>
          </w:tcPr>
          <w:p>
            <w:pPr>
              <w:spacing w:before="80" w:after="80"/>
            </w:pPr>
            <w:r>
              <w:rPr>
                <w:rFonts w:ascii="Consolas" w:hAnsi="Consolas"/>
                <w:b w:val="0"/>
                <w:i w:val="0"/>
                <w:color w:val="1E4F5A"/>
                <w:sz w:val="19"/>
              </w:rPr>
              <w:t>timeend</w:t>
            </w:r>
            <w:r>
              <w:rPr>
                <w:rFonts w:ascii="Calibri" w:hAnsi="Calibri"/>
                <w:b w:val="0"/>
                <w:i w:val="0"/>
                <w:color w:val="44555B"/>
                <w:sz w:val="19"/>
              </w:rPr>
              <w:t xml:space="preserve"> de la topología</w:t>
            </w:r>
          </w:p>
        </w:tc>
      </w:tr>
    </w:tbl>
    <w:p>
      <w:pPr>
        <w:spacing w:before="0" w:after="40" w:line="276" w:lineRule="auto"/>
        <w:jc w:val="both"/>
      </w:pPr>
    </w:p>
    <w:p>
      <w:pPr>
        <w:spacing w:before="160" w:after="160" w:line="276" w:lineRule="auto"/>
        <w:jc w:val="both"/>
      </w:pPr>
      <w:r>
        <w:rPr>
          <w:rFonts w:ascii="Cambria" w:hAnsi="Cambria"/>
          <w:b w:val="0"/>
          <w:i w:val="0"/>
          <w:color w:val="1A2428"/>
          <w:sz w:val="22"/>
        </w:rPr>
        <w:t>Dos criterios guiaron esta traducción. El primero: no congelar coeficientes. El plan no transporta los valores de α y β ajustados en el tablero, sino la ventana de calibración, de manera que pydrodelta reajuste el modelo en cada corrida con los datos disponibles al momento de la emisión. El segundo: dejar fuera del plan aquello que no tiene equivalente portable —las ventanas de eliminación manual, los corrimientos verticales por tramo y la detección de saltos con ventana móvil siguen siendo tareas de análisis previo, no parte del procedimiento operativo automatizado.</w:t>
      </w:r>
    </w:p>
    <w:p>
      <w:pPr>
        <w:spacing w:before="320" w:after="120" w:line="276" w:lineRule="auto"/>
        <w:jc w:val="left"/>
      </w:pPr>
      <w:r>
        <w:rPr>
          <w:rFonts w:ascii="Consolas" w:hAnsi="Consolas"/>
          <w:b/>
          <w:i w:val="0"/>
          <w:color w:val="1E4F5A"/>
          <w:sz w:val="22"/>
        </w:rPr>
        <w:t xml:space="preserve">03    </w:t>
      </w:r>
      <w:r>
        <w:rPr>
          <w:rFonts w:ascii="Calibri" w:hAnsi="Calibri"/>
          <w:b/>
          <w:i w:val="0"/>
          <w:color w:val="1E4F5A"/>
          <w:sz w:val="24"/>
        </w:rPr>
        <w:t>Un plan por modelo, para preservar la comparación entre alternativas</w:t>
      </w:r>
    </w:p>
    <w:p>
      <w:pPr>
        <w:spacing w:before="0" w:after="160" w:line="276" w:lineRule="auto"/>
        <w:jc w:val="both"/>
      </w:pPr>
      <w:r>
        <w:rPr>
          <w:rFonts w:ascii="Cambria" w:hAnsi="Cambria"/>
          <w:b w:val="0"/>
          <w:i w:val="0"/>
          <w:color w:val="1A2428"/>
          <w:sz w:val="22"/>
        </w:rPr>
        <w:t>El sistema admite dos estaciones aguas arriba, Villa Montes y Puente Aruma, que dan lugar a dos ajustes independientes. Al implementar la traducción se verificó que agrupar ambos ajustes en un mismo plan no produce el resultado esperado: dos procedimientos que escriben sobre la misma variable de nodo no se combinan ni se promedian, sino que —con el comportamiento por defecto de pydrodelta— el segundo únicamente rellena los huecos que dejó el primero.</w:t>
      </w:r>
    </w:p>
    <w:p>
      <w:pPr>
        <w:spacing w:before="0" w:after="160" w:line="276" w:lineRule="auto"/>
        <w:jc w:val="both"/>
      </w:pPr>
      <w:r>
        <w:rPr>
          <w:rFonts w:ascii="Cambria" w:hAnsi="Cambria"/>
          <w:b w:val="0"/>
          <w:i w:val="0"/>
          <w:color w:val="1A2428"/>
          <w:sz w:val="22"/>
        </w:rPr>
        <w:t xml:space="preserve">En consecuencia se adoptó como criterio general </w:t>
      </w:r>
      <w:r>
        <w:rPr>
          <w:rFonts w:ascii="Cambria" w:hAnsi="Cambria"/>
          <w:b/>
          <w:i w:val="0"/>
          <w:color w:val="1A2428"/>
          <w:sz w:val="22"/>
        </w:rPr>
        <w:t>un procedimiento por plan</w:t>
      </w:r>
      <w:r>
        <w:rPr>
          <w:rFonts w:ascii="Cambria" w:hAnsi="Cambria"/>
          <w:b w:val="0"/>
          <w:i w:val="0"/>
          <w:color w:val="1A2428"/>
          <w:sz w:val="22"/>
        </w:rPr>
        <w:t>. En el pronóstico operativo esto significa un plan por estación aguas arriba; en el subestacional, un plan por método —persistencia de cuantiles por un lado, analogías históricas por el otro—. Cada plan lleva su propio identificador y su propia carpeta de salidas.</w:t>
      </w:r>
    </w:p>
    <w:p>
      <w:pPr>
        <w:spacing w:before="0" w:after="160" w:line="276" w:lineRule="auto"/>
        <w:jc w:val="both"/>
      </w:pPr>
      <w:r>
        <w:rPr>
          <w:rFonts w:ascii="Cambria" w:hAnsi="Cambria"/>
          <w:b w:val="0"/>
          <w:i w:val="0"/>
          <w:color w:val="1A2428"/>
          <w:sz w:val="22"/>
        </w:rPr>
        <w:t>Así cada modelo alternativo produce su pronóstico completo y sus estadísticos por separado, y la comparación entre ellos queda disponible como insumo para la decisión operativa, que es el uso que efectivamente se le da en la sala de pronóstico.</w:t>
      </w:r>
    </w:p>
    <w:p>
      <w:pPr>
        <w:spacing w:before="320" w:after="120" w:line="276" w:lineRule="auto"/>
        <w:jc w:val="left"/>
      </w:pPr>
      <w:r>
        <w:rPr>
          <w:rFonts w:ascii="Consolas" w:hAnsi="Consolas"/>
          <w:b/>
          <w:i w:val="0"/>
          <w:color w:val="1E4F5A"/>
          <w:sz w:val="22"/>
        </w:rPr>
        <w:t xml:space="preserve">04    </w:t>
      </w:r>
      <w:r>
        <w:rPr>
          <w:rFonts w:ascii="Calibri" w:hAnsi="Calibri"/>
          <w:b/>
          <w:i w:val="0"/>
          <w:color w:val="1E4F5A"/>
          <w:sz w:val="24"/>
        </w:rPr>
        <w:t>Publicación de las salidas como series de simulación en la API A5</w:t>
      </w:r>
    </w:p>
    <w:p>
      <w:pPr>
        <w:spacing w:before="0" w:after="160" w:line="276" w:lineRule="auto"/>
        <w:jc w:val="both"/>
      </w:pPr>
      <w:r>
        <w:rPr>
          <w:rFonts w:ascii="Cambria" w:hAnsi="Cambria"/>
          <w:b w:val="0"/>
          <w:i w:val="0"/>
          <w:color w:val="1A2428"/>
          <w:sz w:val="22"/>
        </w:rPr>
        <w:t xml:space="preserve">Este punto constituye el acceso por servicio web propiamente dicho. Cada plan declara, sobre la variable de la estación objetivo, una </w:t>
      </w:r>
      <w:r>
        <w:rPr>
          <w:rFonts w:ascii="Consolas" w:hAnsi="Consolas"/>
          <w:b w:val="0"/>
          <w:i w:val="0"/>
          <w:color w:val="1E4F5A"/>
          <w:sz w:val="19"/>
        </w:rPr>
        <w:t>series_sim</w:t>
      </w:r>
      <w:r>
        <w:rPr>
          <w:rFonts w:ascii="Cambria" w:hAnsi="Cambria"/>
          <w:b w:val="0"/>
          <w:i w:val="0"/>
          <w:color w:val="1A2428"/>
          <w:sz w:val="22"/>
        </w:rPr>
        <w:t>: el identificador de la serie de A5 en la que pydrodelta deposita el resultado de la corrida. A partir de esa declaración el pronóstico deja de ser un archivo en una máquina de trabajo y pasa a ser una serie institucional, consultable por los mismos endpoints con los que hoy se consumen las observaciones y el resto de los productos del sistema de alerta.</w:t>
      </w:r>
    </w:p>
    <w:p>
      <w:pPr>
        <w:spacing w:before="160" w:after="200" w:line="276" w:lineRule="auto"/>
        <w:ind w:left="283" w:right="283"/>
        <w:jc w:val="both"/>
        <w:pBdr>
          <w:left w:val="single" w:sz="18" w:space="0" w:color="2C6B79"/>
        </w:pBdr>
      </w:pPr>
      <w:r>
        <w:rPr>
          <w:rFonts w:ascii="Calibri" w:hAnsi="Calibri"/>
          <w:b/>
          <w:i w:val="0"/>
          <w:color w:val="1A2428"/>
          <w:sz w:val="20"/>
        </w:rPr>
        <w:t xml:space="preserve">Nota técnica. </w:t>
      </w:r>
      <w:r>
        <w:rPr>
          <w:rFonts w:ascii="Calibri" w:hAnsi="Calibri"/>
          <w:b w:val="0"/>
          <w:i w:val="0"/>
          <w:color w:val="44555B"/>
          <w:sz w:val="20"/>
        </w:rPr>
        <w:t xml:space="preserve">La declaración de </w:t>
      </w:r>
      <w:r>
        <w:rPr>
          <w:rFonts w:ascii="Consolas" w:hAnsi="Consolas"/>
          <w:b w:val="0"/>
          <w:i w:val="0"/>
          <w:color w:val="1E4F5A"/>
          <w:sz w:val="18"/>
        </w:rPr>
        <w:t>series_sim</w:t>
      </w:r>
      <w:r>
        <w:rPr>
          <w:rFonts w:ascii="Calibri" w:hAnsi="Calibri"/>
          <w:b w:val="0"/>
          <w:i w:val="0"/>
          <w:color w:val="44555B"/>
          <w:sz w:val="20"/>
        </w:rPr>
        <w:t xml:space="preserve"> no es opcional en la práctica: pydrodelta arma la salida de la corrida recorriendo estas series, de modo que un plan que la omita se ejecuta sin error pero no produce salida publicable. La aplicación incorpora una verificación que advierte al usuario cuando el identificador no fue cargado.</w:t>
      </w:r>
    </w:p>
    <w:p>
      <w:pPr>
        <w:spacing w:before="0" w:after="160" w:line="276" w:lineRule="auto"/>
        <w:jc w:val="both"/>
      </w:pPr>
      <w:r>
        <w:rPr>
          <w:rFonts w:ascii="Cambria" w:hAnsi="Cambria"/>
          <w:b w:val="0"/>
          <w:i w:val="0"/>
          <w:color w:val="1A2428"/>
          <w:sz w:val="22"/>
        </w:rPr>
        <w:t xml:space="preserve">La carga de los identificadores de las series de simulación se realiza desde la propia pestaña, con una fila por plan. </w:t>
      </w:r>
      <w:r>
        <w:rPr>
          <w:rFonts w:ascii="Calibri" w:hAnsi="Calibri"/>
          <w:b w:val="0"/>
          <w:i/>
          <w:color w:val="8A4A0A"/>
          <w:sz w:val="20"/>
          <w:highlight w:val="yellow"/>
        </w:rPr>
        <w:t>Indicar aquí qué series de simulación fueron efectivamente creadas en A5 y por quién — en las pruebas se utilizó la 46352 para el ajuste desde Puente Aruma.</w:t>
      </w:r>
    </w:p>
    <w:p>
      <w:pPr>
        <w:spacing w:before="320" w:after="120" w:line="276" w:lineRule="auto"/>
        <w:jc w:val="left"/>
      </w:pPr>
      <w:r>
        <w:rPr>
          <w:rFonts w:ascii="Consolas" w:hAnsi="Consolas"/>
          <w:b/>
          <w:i w:val="0"/>
          <w:color w:val="1E4F5A"/>
          <w:sz w:val="22"/>
        </w:rPr>
        <w:t xml:space="preserve">05    </w:t>
      </w:r>
      <w:r>
        <w:rPr>
          <w:rFonts w:ascii="Calibri" w:hAnsi="Calibri"/>
          <w:b/>
          <w:i w:val="0"/>
          <w:color w:val="1E4F5A"/>
          <w:sz w:val="24"/>
        </w:rPr>
        <w:t>Publicación de la banda de incertidumbre y de los productos derivados</w:t>
      </w:r>
    </w:p>
    <w:p>
      <w:pPr>
        <w:spacing w:before="0" w:after="160" w:line="276" w:lineRule="auto"/>
        <w:jc w:val="both"/>
      </w:pPr>
      <w:r>
        <w:rPr>
          <w:rFonts w:ascii="Cambria" w:hAnsi="Cambria"/>
          <w:b w:val="0"/>
          <w:i w:val="0"/>
          <w:color w:val="1A2428"/>
          <w:sz w:val="22"/>
        </w:rPr>
        <w:t>Los tres procedimientos utilizados —</w:t>
      </w:r>
      <w:r>
        <w:rPr>
          <w:rFonts w:ascii="Consolas" w:hAnsi="Consolas"/>
          <w:b w:val="0"/>
          <w:i w:val="0"/>
          <w:color w:val="1E4F5A"/>
          <w:sz w:val="19"/>
        </w:rPr>
        <w:t>LinearFit</w:t>
      </w:r>
      <w:r>
        <w:rPr>
          <w:rFonts w:ascii="Cambria" w:hAnsi="Cambria"/>
          <w:b w:val="0"/>
          <w:i w:val="0"/>
          <w:color w:val="1A2428"/>
          <w:sz w:val="22"/>
        </w:rPr>
        <w:t xml:space="preserve">, </w:t>
      </w:r>
      <w:r>
        <w:rPr>
          <w:rFonts w:ascii="Consolas" w:hAnsi="Consolas"/>
          <w:b w:val="0"/>
          <w:i w:val="0"/>
          <w:color w:val="1E4F5A"/>
          <w:sz w:val="19"/>
        </w:rPr>
        <w:t>Persistence</w:t>
      </w:r>
      <w:r>
        <w:rPr>
          <w:rFonts w:ascii="Cambria" w:hAnsi="Cambria"/>
          <w:b w:val="0"/>
          <w:i w:val="0"/>
          <w:color w:val="1A2428"/>
          <w:sz w:val="22"/>
        </w:rPr>
        <w:t xml:space="preserve"> y </w:t>
      </w:r>
      <w:r>
        <w:rPr>
          <w:rFonts w:ascii="Consolas" w:hAnsi="Consolas"/>
          <w:b w:val="0"/>
          <w:i w:val="0"/>
          <w:color w:val="1E4F5A"/>
          <w:sz w:val="19"/>
        </w:rPr>
        <w:t>Analogy</w:t>
      </w:r>
      <w:r>
        <w:rPr>
          <w:rFonts w:ascii="Cambria" w:hAnsi="Cambria"/>
          <w:b w:val="0"/>
          <w:i w:val="0"/>
          <w:color w:val="1A2428"/>
          <w:sz w:val="22"/>
        </w:rPr>
        <w:t xml:space="preserve">— calculan, además del valor pronosticado, una banda de error alrededor de él: en el caso del modelo nivel–nivel, a partir de los residuos del ajuste. Esa banda se descarta al escribir la salida si el plan no la solicita explícitamente, de modo que los planes se generan declarando los miembros </w:t>
      </w:r>
      <w:r>
        <w:rPr>
          <w:rFonts w:ascii="Consolas" w:hAnsi="Consolas"/>
          <w:b w:val="0"/>
          <w:i w:val="0"/>
          <w:color w:val="1E4F5A"/>
          <w:sz w:val="19"/>
        </w:rPr>
        <w:t>superior</w:t>
      </w:r>
      <w:r>
        <w:rPr>
          <w:rFonts w:ascii="Cambria" w:hAnsi="Cambria"/>
          <w:b w:val="0"/>
          <w:i w:val="0"/>
          <w:color w:val="1A2428"/>
          <w:sz w:val="22"/>
        </w:rPr>
        <w:t xml:space="preserve"> e </w:t>
      </w:r>
      <w:r>
        <w:rPr>
          <w:rFonts w:ascii="Consolas" w:hAnsi="Consolas"/>
          <w:b w:val="0"/>
          <w:i w:val="0"/>
          <w:color w:val="1E4F5A"/>
          <w:sz w:val="19"/>
        </w:rPr>
        <w:t>inferior</w:t>
      </w:r>
      <w:r>
        <w:rPr>
          <w:rFonts w:ascii="Cambria" w:hAnsi="Cambria"/>
          <w:b w:val="0"/>
          <w:i w:val="0"/>
          <w:color w:val="1A2428"/>
          <w:sz w:val="22"/>
        </w:rPr>
        <w:t>. El producto publicado incluye así el pronóstico y su incertidumbre asociada, en lugar de un valor único.</w:t>
      </w:r>
    </w:p>
    <w:p>
      <w:pPr>
        <w:spacing w:before="0" w:after="160" w:line="276" w:lineRule="auto"/>
        <w:jc w:val="both"/>
      </w:pPr>
      <w:r>
        <w:rPr>
          <w:rFonts w:ascii="Cambria" w:hAnsi="Cambria"/>
          <w:b w:val="0"/>
          <w:i w:val="0"/>
          <w:color w:val="1A2428"/>
          <w:sz w:val="22"/>
        </w:rPr>
        <w:t>Cada plan define además el conjunto de salidas complementarias que acompañan a la corrida:</w:t>
      </w:r>
    </w:p>
    <w:p>
      <w:pPr>
        <w:pStyle w:val="ListBullet"/>
        <w:spacing w:before="0" w:after="80" w:line="264" w:lineRule="auto"/>
        <w:jc w:val="left"/>
      </w:pPr>
      <w:r>
        <w:rPr>
          <w:rFonts w:ascii="Cambria" w:hAnsi="Cambria"/>
          <w:b w:val="0"/>
          <w:i w:val="0"/>
          <w:color w:val="1A2428"/>
          <w:sz w:val="22"/>
        </w:rPr>
        <w:t>tabla de simulación y estadísticos de desempeño de la corrida;</w:t>
      </w:r>
    </w:p>
    <w:p>
      <w:pPr>
        <w:pStyle w:val="ListBullet"/>
        <w:spacing w:before="0" w:after="80" w:line="264" w:lineRule="auto"/>
        <w:jc w:val="left"/>
      </w:pPr>
      <w:r>
        <w:rPr>
          <w:rFonts w:ascii="Cambria" w:hAnsi="Cambria"/>
          <w:b w:val="0"/>
          <w:i w:val="0"/>
          <w:color w:val="1A2428"/>
          <w:sz w:val="22"/>
        </w:rPr>
        <w:t>reporte de la topología, con el detalle de datos faltantes e interpolados;</w:t>
      </w:r>
    </w:p>
    <w:p>
      <w:pPr>
        <w:pStyle w:val="ListBullet"/>
        <w:spacing w:before="0" w:after="80" w:line="264" w:lineRule="auto"/>
        <w:jc w:val="left"/>
      </w:pPr>
      <w:r>
        <w:rPr>
          <w:rFonts w:ascii="Cambria" w:hAnsi="Cambria"/>
          <w:b w:val="0"/>
          <w:i w:val="0"/>
          <w:color w:val="1A2428"/>
          <w:sz w:val="22"/>
        </w:rPr>
        <w:t>gráfico de control en PDF, con las columnas de simulación superpuestas a las observaciones;</w:t>
      </w:r>
    </w:p>
    <w:p>
      <w:pPr>
        <w:pStyle w:val="ListBullet"/>
        <w:spacing w:before="0" w:after="80" w:line="264" w:lineRule="auto"/>
        <w:jc w:val="left"/>
      </w:pPr>
      <w:r>
        <w:rPr>
          <w:rFonts w:ascii="Cambria" w:hAnsi="Cambria"/>
          <w:b w:val="0"/>
          <w:i w:val="0"/>
          <w:color w:val="1A2428"/>
          <w:sz w:val="22"/>
        </w:rPr>
        <w:t>resultados y coeficientes de cada procedimiento por separado, para auditoría del ajuste.</w:t>
      </w:r>
    </w:p>
    <w:tbl>
      <w:tblPr>
        <w:tblW w:type="auto" w:w="0"/>
        <w:jc w:val="center"/>
        <w:tblLayout w:type="fixed"/>
        <w:tblLook w:firstColumn="1" w:firstRow="1" w:lastColumn="0" w:lastRow="0" w:noHBand="0" w:noVBand="1" w:val="04A0"/>
        <w:tblBorders>
          <w:top w:val="dashed" w:sz="6" w:space="0" w:color="BFC9C9"/>
          <w:left w:val="dashed" w:sz="6" w:space="0" w:color="BFC9C9"/>
          <w:bottom w:val="dashed" w:sz="6" w:space="0" w:color="BFC9C9"/>
          <w:right w:val="dashed" w:sz="6" w:space="0" w:color="BFC9C9"/>
          <w:insideH w:val="none" w:sz="0" w:space="0" w:color="auto"/>
          <w:insideV w:val="none" w:sz="0" w:space="0" w:color="auto"/>
        </w:tblBorders>
      </w:tblPr>
      <w:tblGrid>
        <w:gridCol w:w="9071"/>
      </w:tblGrid>
      <w:tr>
        <w:trPr>
          <w:trHeight w:val="4252" w:hRule="atLeast"/>
        </w:trPr>
        <w:tc>
          <w:tcPr>
            <w:tcW w:type="dxa" w:w="9071"/>
          </w:tcPr>
          <w:p>
            <w:pPr>
              <w:spacing w:before="1960"/>
              <w:jc w:val="center"/>
            </w:pPr>
            <w:r>
              <w:rPr>
                <w:rFonts w:ascii="Calibri" w:hAnsi="Calibri"/>
                <w:b w:val="0"/>
                <w:i/>
                <w:color w:val="6B7D83"/>
                <w:sz w:val="20"/>
              </w:rPr>
              <w:t>[ espacio para la figura ]</w:t>
            </w:r>
          </w:p>
        </w:tc>
      </w:tr>
    </w:tbl>
    <w:p>
      <w:pPr>
        <w:spacing w:before="120" w:after="280" w:line="276" w:lineRule="auto"/>
        <w:jc w:val="center"/>
      </w:pPr>
      <w:r>
        <w:rPr>
          <w:rFonts w:ascii="Calibri" w:hAnsi="Calibri"/>
          <w:b/>
          <w:i w:val="0"/>
          <w:color w:val="44555B"/>
          <w:sz w:val="19"/>
        </w:rPr>
        <w:t>Figura 2</w:t>
      </w:r>
      <w:r>
        <w:rPr>
          <w:rFonts w:ascii="Calibri" w:hAnsi="Calibri"/>
          <w:b w:val="0"/>
          <w:i w:val="0"/>
          <w:color w:val="44555B"/>
          <w:sz w:val="19"/>
        </w:rPr>
        <w:t xml:space="preserve"> – Gráfico de control generado por la corrida del plan operativo.</w:t>
      </w:r>
    </w:p>
    <w:p>
      <w:pPr>
        <w:spacing w:before="320" w:after="120" w:line="276" w:lineRule="auto"/>
        <w:jc w:val="left"/>
      </w:pPr>
      <w:r>
        <w:rPr>
          <w:rFonts w:ascii="Consolas" w:hAnsi="Consolas"/>
          <w:b/>
          <w:i w:val="0"/>
          <w:color w:val="1E4F5A"/>
          <w:sz w:val="22"/>
        </w:rPr>
        <w:t xml:space="preserve">06    </w:t>
      </w:r>
      <w:r>
        <w:rPr>
          <w:rFonts w:ascii="Calibri" w:hAnsi="Calibri"/>
          <w:b/>
          <w:i w:val="0"/>
          <w:color w:val="1E4F5A"/>
          <w:sz w:val="24"/>
        </w:rPr>
        <w:t>Validación de los planes contra el esquema institucional</w:t>
      </w:r>
    </w:p>
    <w:p>
      <w:pPr>
        <w:spacing w:before="0" w:after="160" w:line="276" w:lineRule="auto"/>
        <w:jc w:val="both"/>
      </w:pPr>
      <w:r>
        <w:rPr>
          <w:rFonts w:ascii="Cambria" w:hAnsi="Cambria"/>
          <w:b w:val="0"/>
          <w:i w:val="0"/>
          <w:color w:val="1A2428"/>
          <w:sz w:val="22"/>
        </w:rPr>
        <w:t xml:space="preserve">Los planes generados se validan contra el esquema oficial publicado por el INA en </w:t>
      </w:r>
      <w:r>
        <w:rPr>
          <w:rFonts w:ascii="Consolas" w:hAnsi="Consolas"/>
          <w:b w:val="0"/>
          <w:i w:val="0"/>
          <w:color w:val="1E4F5A"/>
          <w:sz w:val="19"/>
        </w:rPr>
        <w:t>https://alerta.ina.gob.ar/ina/pydrodelta/schema/plan.json</w:t>
      </w:r>
      <w:r>
        <w:rPr>
          <w:rFonts w:ascii="Cambria" w:hAnsi="Cambria"/>
          <w:b w:val="0"/>
          <w:i w:val="0"/>
          <w:color w:val="1A2428"/>
          <w:sz w:val="22"/>
        </w:rPr>
        <w:t>. La validación se verificó tanto para los planes operativos como para el subestacional, sin errores, lo que garantiza que los archivos producidos por el tablero son directamente ejecutables y editables con asistencia de esquema desde cualquier editor.</w:t>
      </w:r>
    </w:p>
    <w:p>
      <w:pPr>
        <w:spacing w:before="0" w:after="160" w:line="276" w:lineRule="auto"/>
        <w:jc w:val="both"/>
      </w:pPr>
      <w:r>
        <w:rPr>
          <w:rFonts w:ascii="Cambria" w:hAnsi="Cambria"/>
          <w:b w:val="0"/>
          <w:i w:val="0"/>
          <w:color w:val="1A2428"/>
          <w:sz w:val="22"/>
        </w:rPr>
        <w:t>Durante este trabajo se detectó que varios de los esquemas publicados repetían su identificador interno, lo que impedía resolver las referencias entre ellos y, por lo tanto, validar los planes de forma automática. La observación fue transmitida al equipo de desarrollo de pydrodelta y corregida en los 54 esquemas, tanto en el repositorio como en el servicio publicado. La validación con resolución de referencias quedó operativa a partir de esa corrección.</w:t>
      </w:r>
    </w:p>
    <w:p>
      <w:pPr>
        <w:spacing w:before="320" w:after="120" w:line="276" w:lineRule="auto"/>
        <w:jc w:val="left"/>
      </w:pPr>
      <w:r>
        <w:rPr>
          <w:rFonts w:ascii="Consolas" w:hAnsi="Consolas"/>
          <w:b/>
          <w:i w:val="0"/>
          <w:color w:val="1E4F5A"/>
          <w:sz w:val="22"/>
        </w:rPr>
        <w:t xml:space="preserve">07    </w:t>
      </w:r>
      <w:r>
        <w:rPr>
          <w:rFonts w:ascii="Calibri" w:hAnsi="Calibri"/>
          <w:b/>
          <w:i w:val="0"/>
          <w:color w:val="1E4F5A"/>
          <w:sz w:val="24"/>
        </w:rPr>
        <w:t>Documentación e instrucciones de uso</w:t>
      </w:r>
    </w:p>
    <w:p>
      <w:pPr>
        <w:spacing w:before="0" w:after="160" w:line="276" w:lineRule="auto"/>
        <w:jc w:val="both"/>
      </w:pPr>
      <w:r>
        <w:rPr>
          <w:rFonts w:ascii="Cambria" w:hAnsi="Cambria"/>
          <w:b w:val="0"/>
          <w:i w:val="0"/>
          <w:color w:val="1A2428"/>
          <w:sz w:val="22"/>
        </w:rPr>
        <w:t>La documentación técnica del repositorio fue ampliada con una sección dedicada a la generación de planes, que incluye la descripción de ambas familias de planes, la tabla de correspondencia entre la configuración del tablero y las claves del plan, la ubicación de los archivos generados y de las salidas de cada corrida, y las advertencias que emite la aplicación con su interpretación. El código del módulo de construcción de planes documenta además, en cada decisión de diseño, el motivo por el que fue adoptada.</w:t>
      </w:r>
    </w:p>
    <w:p>
      <w:pPr>
        <w:spacing w:before="0" w:after="160" w:line="276" w:lineRule="auto"/>
        <w:jc w:val="both"/>
      </w:pPr>
      <w:r>
        <w:rPr>
          <w:rFonts w:ascii="Cambria" w:hAnsi="Cambria"/>
          <w:b w:val="0"/>
          <w:i w:val="0"/>
          <w:color w:val="1A2428"/>
          <w:sz w:val="22"/>
        </w:rPr>
        <w:t>Se mantienen vigentes las instrucciones de instalación, configuración de credenciales y ejecución del tablero incorporadas en los entregables anteriores, actualizadas con las dependencias agregadas en esta etapa.</w:t>
      </w:r>
    </w:p>
    <w:p>
      <w:pPr>
        <w:spacing w:before="320" w:after="120" w:line="276" w:lineRule="auto"/>
        <w:jc w:val="left"/>
      </w:pPr>
      <w:r>
        <w:rPr>
          <w:rFonts w:ascii="Consolas" w:hAnsi="Consolas"/>
          <w:b/>
          <w:i w:val="0"/>
          <w:color w:val="1E4F5A"/>
          <w:sz w:val="22"/>
        </w:rPr>
        <w:t xml:space="preserve">08    </w:t>
      </w:r>
      <w:r>
        <w:rPr>
          <w:rFonts w:ascii="Calibri" w:hAnsi="Calibri"/>
          <w:b/>
          <w:i w:val="0"/>
          <w:color w:val="1E4F5A"/>
          <w:sz w:val="24"/>
        </w:rPr>
        <w:t>Transferencia del conocimiento</w:t>
      </w:r>
    </w:p>
    <w:p>
      <w:pPr>
        <w:spacing w:before="0" w:after="160" w:line="276" w:lineRule="auto"/>
        <w:jc w:val="both"/>
      </w:pPr>
      <w:r>
        <w:rPr>
          <w:rFonts w:ascii="Cambria" w:hAnsi="Cambria"/>
          <w:b w:val="0"/>
          <w:i w:val="0"/>
          <w:color w:val="1A2428"/>
          <w:sz w:val="22"/>
        </w:rPr>
        <w:t>La elección de pydrodelta como capa de servicio responde directamente al objetivo de transferencia: el formato de plan es el que el equipo del INA ya utiliza para operar sus procedimientos de pronóstico, de modo que el producto de esta consultoría queda expresado en el lenguaje y las herramientas de la institución que va a operarlo, y no en un desarrollo paralelo que dependa de sus autores.</w:t>
      </w:r>
    </w:p>
    <w:p>
      <w:pPr>
        <w:spacing w:before="0" w:after="160" w:line="276" w:lineRule="auto"/>
        <w:jc w:val="both"/>
      </w:pPr>
      <w:r>
        <w:rPr>
          <w:rFonts w:ascii="Calibri" w:hAnsi="Calibri"/>
          <w:b w:val="0"/>
          <w:i/>
          <w:color w:val="8A4A0A"/>
          <w:sz w:val="20"/>
          <w:highlight w:val="yellow"/>
        </w:rPr>
        <w:t>Completar con las instancias concretas de transferencia realizadas en el período: reuniones de trabajo con el equipo de pronóstico del INA (fechas y participantes), sesiones de capacitación sobre el uso del tablero y la ejecución de planes, e intercambios con el equipo de desarrollo de pydrodelta.</w:t>
      </w:r>
    </w:p>
    <w:p>
      <w:pPr>
        <w:spacing w:before="440" w:after="200" w:line="276" w:lineRule="auto"/>
        <w:jc w:val="left"/>
        <w:pBdr>
          <w:bottom w:val="single" w:sz="8" w:space="0" w:color="BFC9C9"/>
        </w:pBdr>
      </w:pPr>
      <w:r>
        <w:rPr>
          <w:rFonts w:ascii="Calibri" w:hAnsi="Calibri"/>
          <w:b/>
          <w:i w:val="0"/>
          <w:color w:val="6B7D83"/>
          <w:sz w:val="20"/>
          <w:spacing w:val="24"/>
        </w:rPr>
        <w:t>ESTADO ACTUAL Y TRABAJOS PENDIENTES</w:t>
      </w:r>
    </w:p>
    <w:p>
      <w:pPr>
        <w:spacing w:before="40" w:after="160" w:line="276" w:lineRule="auto"/>
        <w:jc w:val="both"/>
      </w:pPr>
      <w:r>
        <w:rPr>
          <w:rFonts w:ascii="Calibri" w:hAnsi="Calibri"/>
          <w:b/>
          <w:i w:val="0"/>
          <w:color w:val="1E4F5A"/>
          <w:sz w:val="21"/>
        </w:rPr>
        <w:t xml:space="preserve">Calibrados.  </w:t>
      </w:r>
      <w:r>
        <w:rPr>
          <w:rFonts w:ascii="Cambria" w:hAnsi="Cambria"/>
          <w:b w:val="0"/>
          <w:i w:val="0"/>
          <w:color w:val="1A2428"/>
          <w:sz w:val="22"/>
        </w:rPr>
        <w:t>Los planes se generan con identificadores provisorios, editables desde la aplicación. Resta asignar los identificadores de calibrado definitivos en la API de destino para que las corridas queden asociadas al producto institucional correspondiente.</w:t>
      </w:r>
    </w:p>
    <w:p>
      <w:pPr>
        <w:spacing w:before="40" w:after="160" w:line="276" w:lineRule="auto"/>
        <w:jc w:val="both"/>
      </w:pPr>
      <w:r>
        <w:rPr>
          <w:rFonts w:ascii="Calibri" w:hAnsi="Calibri"/>
          <w:b/>
          <w:i w:val="0"/>
          <w:color w:val="1E4F5A"/>
          <w:sz w:val="21"/>
        </w:rPr>
        <w:t xml:space="preserve">Corridas.  </w:t>
      </w:r>
      <w:r>
        <w:rPr>
          <w:rFonts w:ascii="Cambria" w:hAnsi="Cambria"/>
          <w:b w:val="0"/>
          <w:i w:val="0"/>
          <w:color w:val="1A2428"/>
          <w:sz w:val="22"/>
        </w:rPr>
        <w:t>La aplicación genera el archivo de plan; su ejecución se realiza por separado con pydrodelta. La automatización de la corrida periódica y la publicación desatendida de sus resultados quedan como paso siguiente.</w:t>
      </w:r>
    </w:p>
    <w:p>
      <w:pPr>
        <w:spacing w:before="40" w:after="160" w:line="276" w:lineRule="auto"/>
        <w:jc w:val="both"/>
      </w:pPr>
      <w:r>
        <w:rPr>
          <w:rFonts w:ascii="Calibri" w:hAnsi="Calibri"/>
          <w:b/>
          <w:i w:val="0"/>
          <w:color w:val="1E4F5A"/>
          <w:sz w:val="21"/>
        </w:rPr>
        <w:t xml:space="preserve">Procedimientos.  </w:t>
      </w:r>
      <w:r>
        <w:rPr>
          <w:rFonts w:ascii="Cambria" w:hAnsi="Cambria"/>
          <w:b w:val="0"/>
          <w:i w:val="0"/>
          <w:color w:val="1A2428"/>
          <w:sz w:val="22"/>
        </w:rPr>
        <w:t>Parte del preprocesamiento desarrollado en la aplicación —en particular la corrección por mínimo hidráulico anual del módulo subestacional— no tiene todavía un procedimiento equivalente en pydrodelta. Su incorporación permitiría que el plan describa el procedimiento completo y que la aplicación quede reducida a su función de configuración y visualización.</w:t>
      </w:r>
    </w:p>
    <w:p>
      <w:pPr>
        <w:spacing w:before="360" w:after="0" w:line="276" w:lineRule="auto"/>
        <w:jc w:val="left"/>
        <w:pBdr>
          <w:top w:val="single" w:sz="6" w:space="0" w:color="BFC9C9"/>
        </w:pBdr>
      </w:pPr>
      <w:r>
        <w:rPr>
          <w:rFonts w:ascii="Calibri" w:hAnsi="Calibri"/>
          <w:b w:val="0"/>
          <w:i/>
          <w:color w:val="6B7D83"/>
          <w:sz w:val="18"/>
        </w:rPr>
        <w:t>Consultoría en asistencia para el desarrollo de productos climáticos · Proyecto ENANDES.  Los tramos resaltados requieren completarse antes de la entrega.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