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9828" w14:textId="77777777" w:rsidR="00B3765B" w:rsidRPr="00B3765B" w:rsidRDefault="00B3765B" w:rsidP="00B3765B">
      <w:pPr>
        <w:widowControl w:val="0"/>
        <w:spacing w:after="0" w:line="360" w:lineRule="auto"/>
        <w:jc w:val="both"/>
        <w:rPr>
          <w:rFonts w:ascii="Times New Roman" w:eastAsia="微软雅黑" w:hAnsi="Times New Roman" w:cs="Times New Roman"/>
          <w:b/>
          <w:bCs/>
          <w:sz w:val="28"/>
          <w:szCs w:val="28"/>
          <w14:ligatures w14:val="none"/>
        </w:rPr>
      </w:pPr>
      <w:bookmarkStart w:id="0" w:name="OLE_LINK10"/>
      <w:r w:rsidRPr="00B3765B">
        <w:rPr>
          <w:rFonts w:ascii="Times New Roman" w:eastAsia="微软雅黑" w:hAnsi="Times New Roman" w:cs="Times New Roman"/>
          <w:b/>
          <w:bCs/>
          <w:sz w:val="28"/>
          <w:szCs w:val="28"/>
          <w14:ligatures w14:val="none"/>
        </w:rPr>
        <w:t xml:space="preserve">Title </w:t>
      </w:r>
    </w:p>
    <w:p w14:paraId="3BCD24C0"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A Geometry-Aware Generative Framework Integrating GPS-VAE and Transformer-SELFIES for Structure-Based De Novo Drug Design</w:t>
      </w:r>
    </w:p>
    <w:p w14:paraId="4807BB02" w14:textId="77777777" w:rsidR="00B3765B" w:rsidRPr="00B3765B" w:rsidRDefault="00B3765B" w:rsidP="00B3765B">
      <w:pPr>
        <w:widowControl w:val="0"/>
        <w:spacing w:after="0" w:line="360" w:lineRule="auto"/>
        <w:jc w:val="both"/>
        <w:rPr>
          <w:rFonts w:ascii="Times New Roman" w:eastAsia="微软雅黑" w:hAnsi="Times New Roman" w:cs="Times New Roman"/>
          <w:b/>
          <w:bCs/>
          <w:sz w:val="28"/>
          <w:szCs w:val="28"/>
          <w14:ligatures w14:val="none"/>
        </w:rPr>
      </w:pPr>
      <w:r w:rsidRPr="00B3765B">
        <w:rPr>
          <w:rFonts w:ascii="Times New Roman" w:eastAsia="微软雅黑" w:hAnsi="Times New Roman" w:cs="Times New Roman"/>
          <w:b/>
          <w:bCs/>
          <w:sz w:val="28"/>
          <w:szCs w:val="28"/>
          <w14:ligatures w14:val="none"/>
        </w:rPr>
        <w:t xml:space="preserve">Authors </w:t>
      </w:r>
    </w:p>
    <w:p w14:paraId="6B9E0CB9"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proofErr w:type="spellStart"/>
      <w:r w:rsidRPr="00B3765B">
        <w:rPr>
          <w:rFonts w:ascii="Times New Roman" w:eastAsia="微软雅黑" w:hAnsi="Times New Roman" w:cs="Times New Roman"/>
          <w:sz w:val="28"/>
          <w:szCs w:val="28"/>
          <w14:ligatures w14:val="none"/>
        </w:rPr>
        <w:t>Shiqian</w:t>
      </w:r>
      <w:proofErr w:type="spellEnd"/>
      <w:r w:rsidRPr="00B3765B">
        <w:rPr>
          <w:rFonts w:ascii="Times New Roman" w:eastAsia="微软雅黑" w:hAnsi="Times New Roman" w:cs="Times New Roman"/>
          <w:sz w:val="28"/>
          <w:szCs w:val="28"/>
          <w14:ligatures w14:val="none"/>
        </w:rPr>
        <w:t xml:space="preserve"> Han ¹, </w:t>
      </w:r>
      <w:proofErr w:type="spellStart"/>
      <w:r w:rsidRPr="00B3765B">
        <w:rPr>
          <w:rFonts w:ascii="Times New Roman" w:eastAsia="微软雅黑" w:hAnsi="Times New Roman" w:cs="Times New Roman"/>
          <w:sz w:val="28"/>
          <w:szCs w:val="28"/>
          <w14:ligatures w14:val="none"/>
        </w:rPr>
        <w:t>Yuxing</w:t>
      </w:r>
      <w:proofErr w:type="spellEnd"/>
      <w:r w:rsidRPr="00B3765B">
        <w:rPr>
          <w:rFonts w:ascii="Times New Roman" w:eastAsia="微软雅黑" w:hAnsi="Times New Roman" w:cs="Times New Roman"/>
          <w:sz w:val="28"/>
          <w:szCs w:val="28"/>
          <w14:ligatures w14:val="none"/>
        </w:rPr>
        <w:t xml:space="preserve"> Shen ²*, Honghui </w:t>
      </w:r>
      <w:proofErr w:type="gramStart"/>
      <w:r w:rsidRPr="00B3765B">
        <w:rPr>
          <w:rFonts w:ascii="Times New Roman" w:eastAsia="微软雅黑" w:hAnsi="Times New Roman" w:cs="Times New Roman"/>
          <w:sz w:val="28"/>
          <w:szCs w:val="28"/>
          <w14:ligatures w14:val="none"/>
        </w:rPr>
        <w:t>An</w:t>
      </w:r>
      <w:proofErr w:type="gramEnd"/>
      <w:r w:rsidRPr="00B3765B">
        <w:rPr>
          <w:rFonts w:ascii="Times New Roman" w:eastAsia="微软雅黑" w:hAnsi="Times New Roman" w:cs="Times New Roman"/>
          <w:sz w:val="28"/>
          <w:szCs w:val="28"/>
          <w14:ligatures w14:val="none"/>
        </w:rPr>
        <w:t xml:space="preserve"> </w:t>
      </w:r>
      <w:proofErr w:type="gramStart"/>
      <w:r w:rsidRPr="00B3765B">
        <w:rPr>
          <w:rFonts w:ascii="Times New Roman" w:eastAsia="微软雅黑" w:hAnsi="Times New Roman" w:cs="Times New Roman"/>
          <w:sz w:val="28"/>
          <w:szCs w:val="28"/>
          <w:vertAlign w:val="superscript"/>
          <w14:ligatures w14:val="none"/>
        </w:rPr>
        <w:t>2</w:t>
      </w:r>
      <w:r w:rsidRPr="00B3765B">
        <w:rPr>
          <w:rFonts w:ascii="Times New Roman" w:eastAsia="微软雅黑" w:hAnsi="Times New Roman" w:cs="Times New Roman"/>
          <w:sz w:val="28"/>
          <w:szCs w:val="28"/>
          <w14:ligatures w14:val="none"/>
        </w:rPr>
        <w:t xml:space="preserve"> ,</w:t>
      </w:r>
      <w:proofErr w:type="gramEnd"/>
      <w:r w:rsidRPr="00B3765B">
        <w:rPr>
          <w:rFonts w:ascii="Times New Roman" w:eastAsia="微软雅黑" w:hAnsi="Times New Roman" w:cs="Times New Roman"/>
          <w:sz w:val="28"/>
          <w:szCs w:val="28"/>
          <w14:ligatures w14:val="none"/>
        </w:rPr>
        <w:t xml:space="preserve"> Jun Wang </w:t>
      </w:r>
      <w:r w:rsidRPr="00B3765B">
        <w:rPr>
          <w:rFonts w:ascii="Times New Roman" w:eastAsia="微软雅黑" w:hAnsi="Times New Roman" w:cs="Times New Roman"/>
          <w:sz w:val="28"/>
          <w:szCs w:val="28"/>
          <w:vertAlign w:val="superscript"/>
          <w14:ligatures w14:val="none"/>
        </w:rPr>
        <w:t>2</w:t>
      </w:r>
    </w:p>
    <w:p w14:paraId="295AFC9C" w14:textId="77777777" w:rsidR="00B3765B" w:rsidRPr="00B3765B" w:rsidRDefault="00B3765B" w:rsidP="00B3765B">
      <w:pPr>
        <w:widowControl w:val="0"/>
        <w:spacing w:after="0" w:line="360" w:lineRule="auto"/>
        <w:jc w:val="both"/>
        <w:rPr>
          <w:rFonts w:ascii="Times New Roman" w:eastAsia="微软雅黑" w:hAnsi="Times New Roman" w:cs="Times New Roman"/>
          <w:b/>
          <w:bCs/>
          <w:sz w:val="28"/>
          <w:szCs w:val="28"/>
          <w14:ligatures w14:val="none"/>
        </w:rPr>
      </w:pPr>
      <w:r w:rsidRPr="00B3765B">
        <w:rPr>
          <w:rFonts w:ascii="Times New Roman" w:eastAsia="微软雅黑" w:hAnsi="Times New Roman" w:cs="Times New Roman"/>
          <w:b/>
          <w:bCs/>
          <w:sz w:val="28"/>
          <w:szCs w:val="28"/>
          <w14:ligatures w14:val="none"/>
        </w:rPr>
        <w:t>Affiliations</w:t>
      </w:r>
    </w:p>
    <w:p w14:paraId="2299B9A0"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1. College of Science, Shenyang University of Chemical Technology, Shenyang, Liaoning 110142, China</w:t>
      </w:r>
    </w:p>
    <w:p w14:paraId="7E72F781"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2. College of Computer Science and Technology, Shenyang University of Chemical Technology, Shenyang, Liaoning 110142, China</w:t>
      </w:r>
    </w:p>
    <w:p w14:paraId="1B8DFB8A"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3. Key Laboratory for Chemical Process Industry Intelligent Technology of Liaoning Province, Shenyang, Liaoning 110142, China</w:t>
      </w:r>
    </w:p>
    <w:p w14:paraId="30F7915C" w14:textId="77777777" w:rsidR="00B3765B" w:rsidRPr="00B3765B" w:rsidRDefault="00B3765B" w:rsidP="00B3765B">
      <w:pPr>
        <w:widowControl w:val="0"/>
        <w:spacing w:after="0" w:line="360" w:lineRule="auto"/>
        <w:jc w:val="both"/>
        <w:rPr>
          <w:rFonts w:ascii="Times New Roman" w:eastAsia="微软雅黑" w:hAnsi="Times New Roman" w:cs="Times New Roman"/>
          <w:b/>
          <w:bCs/>
          <w:sz w:val="28"/>
          <w:szCs w:val="28"/>
          <w14:ligatures w14:val="none"/>
        </w:rPr>
      </w:pPr>
      <w:r w:rsidRPr="00B3765B">
        <w:rPr>
          <w:rFonts w:ascii="Times New Roman" w:eastAsia="微软雅黑" w:hAnsi="Times New Roman" w:cs="Times New Roman"/>
          <w:b/>
          <w:bCs/>
          <w:sz w:val="28"/>
          <w:szCs w:val="28"/>
          <w14:ligatures w14:val="none"/>
        </w:rPr>
        <w:t>Corresponding Author</w:t>
      </w:r>
    </w:p>
    <w:p w14:paraId="2490410D"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proofErr w:type="spellStart"/>
      <w:r w:rsidRPr="00B3765B">
        <w:rPr>
          <w:rFonts w:ascii="Times New Roman" w:eastAsia="微软雅黑" w:hAnsi="Times New Roman" w:cs="Times New Roman"/>
          <w:sz w:val="28"/>
          <w:szCs w:val="28"/>
          <w14:ligatures w14:val="none"/>
        </w:rPr>
        <w:t>Yuxing</w:t>
      </w:r>
      <w:proofErr w:type="spellEnd"/>
      <w:r w:rsidRPr="00B3765B">
        <w:rPr>
          <w:rFonts w:ascii="Times New Roman" w:eastAsia="微软雅黑" w:hAnsi="Times New Roman" w:cs="Times New Roman"/>
          <w:sz w:val="28"/>
          <w:szCs w:val="28"/>
          <w14:ligatures w14:val="none"/>
        </w:rPr>
        <w:t xml:space="preserve"> Shen</w:t>
      </w:r>
    </w:p>
    <w:p w14:paraId="4D1C6644"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 xml:space="preserve">Email: </w:t>
      </w:r>
      <w:bookmarkStart w:id="1" w:name="OLE_LINK7"/>
      <w:r w:rsidRPr="00B3765B">
        <w:rPr>
          <w:rFonts w:ascii="Times New Roman" w:eastAsia="微软雅黑" w:hAnsi="Times New Roman" w:cs="Times New Roman"/>
          <w:sz w:val="28"/>
          <w:szCs w:val="28"/>
          <w14:ligatures w14:val="none"/>
        </w:rPr>
        <w:t>gujunxiaoan@gmail.com</w:t>
      </w:r>
      <w:bookmarkEnd w:id="1"/>
    </w:p>
    <w:p w14:paraId="558C10AC"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 xml:space="preserve">ORCID: </w:t>
      </w:r>
      <w:bookmarkStart w:id="2" w:name="OLE_LINK6"/>
      <w:r w:rsidRPr="00B3765B">
        <w:rPr>
          <w:rFonts w:ascii="Times New Roman" w:eastAsia="微软雅黑" w:hAnsi="Times New Roman" w:cs="Times New Roman"/>
          <w:sz w:val="28"/>
          <w:szCs w:val="28"/>
          <w14:ligatures w14:val="none"/>
        </w:rPr>
        <w:t>0009-0008-1190-6170</w:t>
      </w:r>
      <w:bookmarkEnd w:id="2"/>
    </w:p>
    <w:p w14:paraId="79688BBE" w14:textId="77777777" w:rsidR="00B3765B" w:rsidRPr="00B3765B" w:rsidRDefault="00B3765B" w:rsidP="00B3765B">
      <w:pPr>
        <w:widowControl w:val="0"/>
        <w:spacing w:after="0" w:line="360" w:lineRule="auto"/>
        <w:jc w:val="both"/>
        <w:rPr>
          <w:rFonts w:ascii="Times New Roman" w:eastAsia="微软雅黑" w:hAnsi="Times New Roman" w:cs="Times New Roman"/>
          <w:b/>
          <w:bCs/>
          <w:sz w:val="28"/>
          <w:szCs w:val="28"/>
          <w14:ligatures w14:val="none"/>
        </w:rPr>
      </w:pPr>
      <w:r w:rsidRPr="00B3765B">
        <w:rPr>
          <w:rFonts w:ascii="Times New Roman" w:eastAsia="微软雅黑" w:hAnsi="Times New Roman" w:cs="Times New Roman"/>
          <w:b/>
          <w:bCs/>
          <w:sz w:val="28"/>
          <w:szCs w:val="28"/>
          <w14:ligatures w14:val="none"/>
        </w:rPr>
        <w:t xml:space="preserve">Acknowledgments </w:t>
      </w:r>
    </w:p>
    <w:p w14:paraId="3AC6027E" w14:textId="77777777" w:rsidR="00B3765B" w:rsidRPr="00B3765B" w:rsidRDefault="00B3765B" w:rsidP="00B3765B">
      <w:pPr>
        <w:widowControl w:val="0"/>
        <w:spacing w:after="0" w:line="360" w:lineRule="auto"/>
        <w:jc w:val="both"/>
        <w:rPr>
          <w:rFonts w:ascii="Times New Roman" w:eastAsia="微软雅黑" w:hAnsi="Times New Roman" w:cs="Times New Roman"/>
          <w:sz w:val="28"/>
          <w:szCs w:val="28"/>
          <w14:ligatures w14:val="none"/>
        </w:rPr>
      </w:pPr>
      <w:r w:rsidRPr="00B3765B">
        <w:rPr>
          <w:rFonts w:ascii="Times New Roman" w:eastAsia="微软雅黑" w:hAnsi="Times New Roman" w:cs="Times New Roman"/>
          <w:sz w:val="28"/>
          <w:szCs w:val="28"/>
          <w14:ligatures w14:val="none"/>
        </w:rPr>
        <w:t>This work was supported by the Liaoning Province Nature Fund Project (No. 2022-MS-291); the National foreign expert project plan (G2022006008L); and the Scientific research project of Liaoning Province Education Department (LJKMZ20220781, LJKMZ20220783).</w:t>
      </w:r>
    </w:p>
    <w:bookmarkEnd w:id="0"/>
    <w:p w14:paraId="14594587" w14:textId="0EEEC979" w:rsidR="004F451E" w:rsidRPr="00B3765B" w:rsidRDefault="00000000" w:rsidP="004F451E">
      <w:pPr>
        <w:pStyle w:val="1"/>
        <w:spacing w:after="200" w:line="360" w:lineRule="auto"/>
        <w:jc w:val="center"/>
        <w:rPr>
          <w:rFonts w:ascii="Times New Roman" w:hAnsi="Times New Roman" w:cs="Times New Roman" w:hint="eastAsia"/>
        </w:rPr>
      </w:pPr>
      <w:r w:rsidRPr="00B3765B">
        <w:rPr>
          <w:rFonts w:ascii="Times New Roman" w:hAnsi="Times New Roman" w:cs="Times New Roman"/>
        </w:rPr>
        <w:lastRenderedPageBreak/>
        <w:t>Abstract</w:t>
      </w:r>
    </w:p>
    <w:p w14:paraId="756B790A" w14:textId="223156C5" w:rsidR="007634CA" w:rsidRDefault="004F451E" w:rsidP="00B3765B">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Passive membrane permeability remains a key barrier for cyclic peptides that target intracellular proteins. We developed a reproducible, source-aware computational workflow for predicting and designing permeable length-six cyclic peptides using a public subset of </w:t>
      </w:r>
      <w:r w:rsidR="0056629A" w:rsidRPr="0056629A">
        <w:rPr>
          <w:rFonts w:ascii="Times New Roman" w:hAnsi="Times New Roman" w:cs="Times New Roman"/>
          <w:sz w:val="24"/>
          <w:szCs w:val="24"/>
        </w:rPr>
        <w:t>the Cyclic Peptide Membrane Permeability Database</w:t>
      </w:r>
      <w:r w:rsidR="0056629A">
        <w:rPr>
          <w:rFonts w:ascii="Times New Roman" w:hAnsi="Times New Roman" w:cs="Times New Roman" w:hint="eastAsia"/>
          <w:sz w:val="24"/>
          <w:szCs w:val="24"/>
        </w:rPr>
        <w:t xml:space="preserve"> (</w:t>
      </w:r>
      <w:proofErr w:type="spellStart"/>
      <w:r w:rsidR="0056629A" w:rsidRPr="0056629A">
        <w:rPr>
          <w:rFonts w:ascii="Times New Roman" w:hAnsi="Times New Roman" w:cs="Times New Roman"/>
          <w:sz w:val="24"/>
          <w:szCs w:val="24"/>
        </w:rPr>
        <w:t>CycPeptMPDB</w:t>
      </w:r>
      <w:proofErr w:type="spellEnd"/>
      <w:r w:rsidR="0056629A">
        <w:rPr>
          <w:rFonts w:ascii="Times New Roman" w:hAnsi="Times New Roman" w:cs="Times New Roman" w:hint="eastAsia"/>
          <w:sz w:val="24"/>
          <w:szCs w:val="24"/>
        </w:rPr>
        <w:t xml:space="preserve">) </w:t>
      </w:r>
      <w:r w:rsidRPr="004F451E">
        <w:rPr>
          <w:rFonts w:ascii="Times New Roman" w:hAnsi="Times New Roman" w:cs="Times New Roman"/>
          <w:sz w:val="24"/>
          <w:szCs w:val="24"/>
        </w:rPr>
        <w:t>containing 2168 annotated peptides from 29 literature sources published between 2006 and 2023. The model integrated peptide-level physicochemical descriptors, monomer-level aggregate descriptors, composition features, N-methylation ratio, D-monomer ratio, and sequence-token features. Predictive performance was assessed with random splitting, source-aware splitting, repeated group cross-validation, and leave-one-source-out testing. The hybrid predictor reached an area under the receiver operating characteristic curve of 0.846 under random splitting, but decreased to 0.625 under source-aware testing, revealing a substantial generalization gap caused by source structure. We then coupled the scorer to two design routes: constrained local optimization around high-quality seeds and multi-objective de novo generation. Candidate selection incorporated uncertainty penalties, diversity filtering, exact and nearest-neighbor novelty checks, and three-dimensional polarity-proxy analysis to reduce overconfident extrapolation. Local optimization produced 12 non-duplicate candidates with stronger predicted permeability, whereas de novo generation produced 24 non-duplicate candidates with broader structural exploration. Overall, this study provides a diagnostic and generative workflow that exposes source-shift limitations in cyclic peptide permeability modeling and supports conservative candidate design.</w:t>
      </w:r>
    </w:p>
    <w:p w14:paraId="6FBF4E53" w14:textId="77777777" w:rsidR="004F451E" w:rsidRPr="00B3765B" w:rsidRDefault="004F451E" w:rsidP="00B3765B">
      <w:pPr>
        <w:spacing w:after="0" w:line="360" w:lineRule="auto"/>
        <w:jc w:val="both"/>
        <w:rPr>
          <w:rFonts w:ascii="Times New Roman" w:hAnsi="Times New Roman" w:cs="Times New Roman"/>
          <w:sz w:val="24"/>
          <w:szCs w:val="24"/>
        </w:rPr>
      </w:pPr>
    </w:p>
    <w:p w14:paraId="370F6BC5" w14:textId="77777777" w:rsidR="007634CA" w:rsidRDefault="00000000" w:rsidP="00B3765B">
      <w:pPr>
        <w:spacing w:after="0" w:line="360" w:lineRule="auto"/>
        <w:jc w:val="both"/>
        <w:rPr>
          <w:rFonts w:ascii="Times New Roman" w:hAnsi="Times New Roman" w:cs="Times New Roman"/>
          <w:sz w:val="24"/>
          <w:szCs w:val="24"/>
        </w:rPr>
      </w:pPr>
      <w:r w:rsidRPr="004F451E">
        <w:rPr>
          <w:rFonts w:ascii="Times New Roman" w:hAnsi="Times New Roman" w:cs="Times New Roman"/>
          <w:b/>
          <w:bCs/>
          <w:sz w:val="24"/>
          <w:szCs w:val="24"/>
        </w:rPr>
        <w:t>Keywords:</w:t>
      </w:r>
      <w:r w:rsidRPr="00B3765B">
        <w:rPr>
          <w:rFonts w:ascii="Times New Roman" w:hAnsi="Times New Roman" w:cs="Times New Roman"/>
          <w:sz w:val="24"/>
          <w:szCs w:val="24"/>
        </w:rPr>
        <w:t xml:space="preserve"> cyclic peptide; membrane permeability; de novo design; source-aware validation; multi-objective generation; molecular descriptors</w:t>
      </w:r>
    </w:p>
    <w:p w14:paraId="655DC741" w14:textId="77777777" w:rsidR="004F451E" w:rsidRDefault="004F451E" w:rsidP="00B3765B">
      <w:pPr>
        <w:spacing w:after="0" w:line="360" w:lineRule="auto"/>
        <w:jc w:val="both"/>
        <w:rPr>
          <w:rFonts w:ascii="Times New Roman" w:hAnsi="Times New Roman" w:cs="Times New Roman"/>
          <w:sz w:val="24"/>
          <w:szCs w:val="24"/>
        </w:rPr>
      </w:pPr>
    </w:p>
    <w:p w14:paraId="1C963C48" w14:textId="77777777" w:rsidR="004F451E" w:rsidRPr="00B3765B" w:rsidRDefault="004F451E" w:rsidP="00B3765B">
      <w:pPr>
        <w:spacing w:after="0" w:line="360" w:lineRule="auto"/>
        <w:jc w:val="both"/>
        <w:rPr>
          <w:rFonts w:ascii="Times New Roman" w:hAnsi="Times New Roman" w:cs="Times New Roman" w:hint="eastAsia"/>
          <w:sz w:val="24"/>
          <w:szCs w:val="24"/>
        </w:rPr>
      </w:pPr>
    </w:p>
    <w:p w14:paraId="65A63736"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lastRenderedPageBreak/>
        <w:t>1. Introduction</w:t>
      </w:r>
    </w:p>
    <w:p w14:paraId="34A0F9DF"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Cyclic peptides occupy an important region between small molecules and biologics. Their conformational constraint, broad interaction surface, and proteolytic stability make them attractive for modulating protein-protein interactions and other difficult targets [1-3]. However, many cyclic peptides still show poor passive membrane permeability, which limits oral exposure and intracellular target engagement [4,5]. Improving permeability while preserving a chemically meaningful peptide scaffold is therefore a central problem in cyclic peptide drug design.</w:t>
      </w:r>
    </w:p>
    <w:p w14:paraId="1E9E9F07"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Previous studies have shown that passive permeability of cyclic peptides is strongly coupled to conformation, internal hydrogen bonding, polarity shielding, N-methylation, and chameleonic behavior across aqueous and membrane-like environments [6-11]. These mechanisms motivate descriptor- and proxy-based modeling, but they also warn against relying on a single two-dimensional score. Modern machine-learning models have increasingly been used to predict cyclic peptide permeability and to guide candidate search [12-16].</w:t>
      </w:r>
    </w:p>
    <w:p w14:paraId="4647A02A"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Nevertheless, three issues remain particularly important for a practical design workflow. First, some published pipelines depend on private model weights, molecular dynamics trajectories, or preprocessing assets that are difficult to reproduce. Second, random train-test splits can mix highly related peptide chemotypes and experimental sources, thereby inflating performance estimates [17]. Third, design studies often emphasize top predicted scores while providing less evidence for diversity, novelty, uncertainty, and mechanistic plausibility.</w:t>
      </w:r>
    </w:p>
    <w:p w14:paraId="44D8562E"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Here we address these issues by building a reproducible descriptor-guided workflow on public data. We focus on length-six cyclic peptides from </w:t>
      </w:r>
      <w:proofErr w:type="spellStart"/>
      <w:r w:rsidRPr="00C6730C">
        <w:rPr>
          <w:rFonts w:ascii="Times New Roman" w:hAnsi="Times New Roman" w:cs="Times New Roman"/>
          <w:sz w:val="24"/>
          <w:szCs w:val="24"/>
        </w:rPr>
        <w:t>CycPeptMPDB</w:t>
      </w:r>
      <w:proofErr w:type="spellEnd"/>
      <w:r w:rsidRPr="00C6730C">
        <w:rPr>
          <w:rFonts w:ascii="Times New Roman" w:hAnsi="Times New Roman" w:cs="Times New Roman"/>
          <w:sz w:val="24"/>
          <w:szCs w:val="24"/>
        </w:rPr>
        <w:t xml:space="preserve"> [12] to reduce length-driven confounding and to keep the generation space controlled. The study makes three contributions: (</w:t>
      </w:r>
      <w:proofErr w:type="spellStart"/>
      <w:r w:rsidRPr="00C6730C">
        <w:rPr>
          <w:rFonts w:ascii="Times New Roman" w:hAnsi="Times New Roman" w:cs="Times New Roman"/>
          <w:sz w:val="24"/>
          <w:szCs w:val="24"/>
        </w:rPr>
        <w:t>i</w:t>
      </w:r>
      <w:proofErr w:type="spellEnd"/>
      <w:r w:rsidRPr="00C6730C">
        <w:rPr>
          <w:rFonts w:ascii="Times New Roman" w:hAnsi="Times New Roman" w:cs="Times New Roman"/>
          <w:sz w:val="24"/>
          <w:szCs w:val="24"/>
        </w:rPr>
        <w:t xml:space="preserve">) a source-aware evaluation of multiple predictors under random, source, group-CV, and leave-one-source-out settings; (ii) a dual-route design strategy that separates local exploitation from broader de novo exploration; </w:t>
      </w:r>
      <w:r w:rsidRPr="00C6730C">
        <w:rPr>
          <w:rFonts w:ascii="Times New Roman" w:hAnsi="Times New Roman" w:cs="Times New Roman"/>
          <w:sz w:val="24"/>
          <w:szCs w:val="24"/>
        </w:rPr>
        <w:lastRenderedPageBreak/>
        <w:t>and (iii) a multi-layer candidate validation package covering uncertainty, quality-diversity structure, source heterogeneity, 3D polarity proxies, and nearest-neighbor novelty depth.</w:t>
      </w:r>
    </w:p>
    <w:p w14:paraId="3A6F0445"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t>2. Related Work</w:t>
      </w:r>
    </w:p>
    <w:p w14:paraId="50039193" w14:textId="77777777" w:rsidR="007634CA" w:rsidRPr="00C6730C" w:rsidRDefault="00000000" w:rsidP="00C6730C">
      <w:pPr>
        <w:spacing w:after="0" w:line="360" w:lineRule="auto"/>
        <w:jc w:val="both"/>
        <w:rPr>
          <w:rFonts w:ascii="Times New Roman" w:hAnsi="Times New Roman" w:cs="Times New Roman"/>
          <w:sz w:val="24"/>
          <w:szCs w:val="24"/>
        </w:rPr>
      </w:pPr>
      <w:proofErr w:type="spellStart"/>
      <w:r w:rsidRPr="00C6730C">
        <w:rPr>
          <w:rFonts w:ascii="Times New Roman" w:hAnsi="Times New Roman" w:cs="Times New Roman"/>
          <w:sz w:val="24"/>
          <w:szCs w:val="24"/>
        </w:rPr>
        <w:t>CycPeptMPDB</w:t>
      </w:r>
      <w:proofErr w:type="spellEnd"/>
      <w:r w:rsidRPr="00C6730C">
        <w:rPr>
          <w:rFonts w:ascii="Times New Roman" w:hAnsi="Times New Roman" w:cs="Times New Roman"/>
          <w:sz w:val="24"/>
          <w:szCs w:val="24"/>
        </w:rPr>
        <w:t xml:space="preserve"> provided a key public basis for modeling membrane permeability of cyclic peptides by organizing HELM strings, monomer annotations, permeability values, sources, and years [12]. Subsequent methods have explored sequence features, graph representations, molecular descriptors, and multimodal encodings. </w:t>
      </w:r>
      <w:proofErr w:type="spellStart"/>
      <w:r w:rsidRPr="00C6730C">
        <w:rPr>
          <w:rFonts w:ascii="Times New Roman" w:hAnsi="Times New Roman" w:cs="Times New Roman"/>
          <w:sz w:val="24"/>
          <w:szCs w:val="24"/>
        </w:rPr>
        <w:t>MuCoCP</w:t>
      </w:r>
      <w:proofErr w:type="spellEnd"/>
      <w:r w:rsidRPr="00C6730C">
        <w:rPr>
          <w:rFonts w:ascii="Times New Roman" w:hAnsi="Times New Roman" w:cs="Times New Roman"/>
          <w:sz w:val="24"/>
          <w:szCs w:val="24"/>
        </w:rPr>
        <w:t xml:space="preserve">, </w:t>
      </w:r>
      <w:proofErr w:type="spellStart"/>
      <w:r w:rsidRPr="00C6730C">
        <w:rPr>
          <w:rFonts w:ascii="Times New Roman" w:hAnsi="Times New Roman" w:cs="Times New Roman"/>
          <w:sz w:val="24"/>
          <w:szCs w:val="24"/>
        </w:rPr>
        <w:t>Multi_CycGT</w:t>
      </w:r>
      <w:proofErr w:type="spellEnd"/>
      <w:r w:rsidRPr="00C6730C">
        <w:rPr>
          <w:rFonts w:ascii="Times New Roman" w:hAnsi="Times New Roman" w:cs="Times New Roman"/>
          <w:sz w:val="24"/>
          <w:szCs w:val="24"/>
        </w:rPr>
        <w:t xml:space="preserve">, and </w:t>
      </w:r>
      <w:proofErr w:type="spellStart"/>
      <w:r w:rsidRPr="00C6730C">
        <w:rPr>
          <w:rFonts w:ascii="Times New Roman" w:hAnsi="Times New Roman" w:cs="Times New Roman"/>
          <w:sz w:val="24"/>
          <w:szCs w:val="24"/>
        </w:rPr>
        <w:t>MultiCycPermea</w:t>
      </w:r>
      <w:proofErr w:type="spellEnd"/>
      <w:r w:rsidRPr="00C6730C">
        <w:rPr>
          <w:rFonts w:ascii="Times New Roman" w:hAnsi="Times New Roman" w:cs="Times New Roman"/>
          <w:sz w:val="24"/>
          <w:szCs w:val="24"/>
        </w:rPr>
        <w:t xml:space="preserve"> illustrate the trend toward richer representations and stronger same-distribution performance [13-15]. A recent systematic benchmark further emphasized that evaluation protocol and distribution shift strongly influence the apparent reliability of permeability predictors [16].</w:t>
      </w:r>
    </w:p>
    <w:p w14:paraId="33F48B52"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broader drug-discovery literature also shows why permeability cannot be reduced to molecular weight or a simple rule-of-five filter. Macrocycles and cyclic peptides often operate in beyond-rule-of-five space, where solvent-exposed polarity, conformational flexibility, and intramolecular hydrogen bonding can dominate passive diffusion [4,6-11,18-20]. For this reason, our framework uses public descriptors and 3D polarity proxies as conservative mechanistic checks rather than as definitive experimental substitutes.</w:t>
      </w:r>
    </w:p>
    <w:p w14:paraId="4791973D" w14:textId="77777777" w:rsidR="007634CA"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Design-oriented studies, including AI-driven de novo cyclic peptide design and C2PO, demonstrate that permeability models can be connected to candidate optimization [21,22]. These studies are valuable because they move beyond prediction toward actionable molecules. However, generated candidates remain difficult to assess when the scorer is itself sensitive to source shift. This motivated our choice to treat source-aware reliability as the starting point of design rather than as a secondary analysis.</w:t>
      </w:r>
    </w:p>
    <w:p w14:paraId="2F771741" w14:textId="77777777" w:rsidR="0056629A" w:rsidRDefault="0056629A" w:rsidP="00C6730C">
      <w:pPr>
        <w:spacing w:after="0" w:line="360" w:lineRule="auto"/>
        <w:jc w:val="both"/>
        <w:rPr>
          <w:rFonts w:ascii="Times New Roman" w:hAnsi="Times New Roman" w:cs="Times New Roman"/>
          <w:sz w:val="24"/>
          <w:szCs w:val="24"/>
        </w:rPr>
      </w:pPr>
    </w:p>
    <w:p w14:paraId="21B591CE" w14:textId="77777777" w:rsidR="0056629A" w:rsidRPr="00C6730C" w:rsidRDefault="0056629A" w:rsidP="00C6730C">
      <w:pPr>
        <w:spacing w:after="0" w:line="360" w:lineRule="auto"/>
        <w:jc w:val="both"/>
        <w:rPr>
          <w:rFonts w:ascii="Times New Roman" w:hAnsi="Times New Roman" w:cs="Times New Roman" w:hint="eastAsia"/>
          <w:sz w:val="24"/>
          <w:szCs w:val="24"/>
        </w:rPr>
      </w:pPr>
    </w:p>
    <w:p w14:paraId="3763DFD2"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lastRenderedPageBreak/>
        <w:t>3. Materials and Methods</w:t>
      </w:r>
    </w:p>
    <w:p w14:paraId="0D8E3AE8"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drawing>
          <wp:inline distT="0" distB="0" distL="0" distR="0" wp14:anchorId="61015878" wp14:editId="125C142C">
            <wp:extent cx="5283200" cy="2971800"/>
            <wp:effectExtent l="0" t="0" r="0" b="0"/>
            <wp:docPr id="8" name="Figure 1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workflow_overview.png"/>
                    <pic:cNvPicPr/>
                  </pic:nvPicPr>
                  <pic:blipFill>
                    <a:blip r:embed="rId7"/>
                    <a:stretch>
                      <a:fillRect/>
                    </a:stretch>
                  </pic:blipFill>
                  <pic:spPr>
                    <a:xfrm>
                      <a:off x="0" y="0"/>
                      <a:ext cx="5286773" cy="2973810"/>
                    </a:xfrm>
                    <a:prstGeom prst="rect">
                      <a:avLst/>
                    </a:prstGeom>
                  </pic:spPr>
                </pic:pic>
              </a:graphicData>
            </a:graphic>
          </wp:inline>
        </w:drawing>
      </w:r>
    </w:p>
    <w:p w14:paraId="4C92E8FD" w14:textId="77777777" w:rsidR="00C6730C" w:rsidRPr="00C6730C" w:rsidRDefault="00C6730C" w:rsidP="00C6730C">
      <w:pPr>
        <w:pStyle w:val="2"/>
        <w:spacing w:line="240" w:lineRule="auto"/>
        <w:jc w:val="both"/>
        <w:rPr>
          <w:rFonts w:ascii="Times New Roman" w:hAnsi="Times New Roman" w:cs="Times New Roman"/>
          <w:b w:val="0"/>
          <w:sz w:val="21"/>
          <w:szCs w:val="21"/>
        </w:rPr>
      </w:pPr>
      <w:r w:rsidRPr="00D35690">
        <w:rPr>
          <w:rFonts w:ascii="Times New Roman" w:hAnsi="Times New Roman" w:cs="Times New Roman"/>
          <w:b w:val="0"/>
          <w:sz w:val="21"/>
          <w:szCs w:val="21"/>
        </w:rPr>
        <w:t>Figure 1.</w:t>
      </w:r>
      <w:r w:rsidRPr="00C6730C">
        <w:rPr>
          <w:rFonts w:ascii="Times New Roman" w:hAnsi="Times New Roman" w:cs="Times New Roman"/>
          <w:b w:val="0"/>
          <w:sz w:val="21"/>
          <w:szCs w:val="21"/>
        </w:rPr>
        <w:t xml:space="preserve"> Descriptor-guided workflow for cyclic peptide permeability prediction and dual-route design. The pipeline comprises five stages: (1) dataset curation from </w:t>
      </w:r>
      <w:proofErr w:type="spellStart"/>
      <w:r w:rsidRPr="00C6730C">
        <w:rPr>
          <w:rFonts w:ascii="Times New Roman" w:hAnsi="Times New Roman" w:cs="Times New Roman"/>
          <w:b w:val="0"/>
          <w:sz w:val="21"/>
          <w:szCs w:val="21"/>
        </w:rPr>
        <w:t>CycPeptMPDB</w:t>
      </w:r>
      <w:proofErr w:type="spellEnd"/>
      <w:r w:rsidRPr="00C6730C">
        <w:rPr>
          <w:rFonts w:ascii="Times New Roman" w:hAnsi="Times New Roman" w:cs="Times New Roman"/>
          <w:b w:val="0"/>
          <w:sz w:val="21"/>
          <w:szCs w:val="21"/>
        </w:rPr>
        <w:t>; (2) extraction of 2D, 3D, and fingerprint descriptor features; (3) source-aware permeability scoring using a hybrid model under Leave-One-Source-Out (LOSO) evaluation; (4) dual-route candidate generation via local optimization and de novo design, guided by multi-objective scoring; and (5) multi-dimensional validation of the final 12 optimized and 24 de novo candidates.</w:t>
      </w:r>
    </w:p>
    <w:p w14:paraId="73C8FB0D" w14:textId="6A2FF33A" w:rsidR="007634CA" w:rsidRPr="00B3765B" w:rsidRDefault="00000000" w:rsidP="00B3765B">
      <w:pPr>
        <w:pStyle w:val="2"/>
        <w:jc w:val="both"/>
        <w:rPr>
          <w:rFonts w:ascii="Times New Roman" w:hAnsi="Times New Roman" w:cs="Times New Roman"/>
          <w:sz w:val="28"/>
          <w:szCs w:val="28"/>
        </w:rPr>
      </w:pPr>
      <w:r w:rsidRPr="00B3765B">
        <w:rPr>
          <w:rFonts w:ascii="Times New Roman" w:hAnsi="Times New Roman" w:cs="Times New Roman"/>
          <w:sz w:val="28"/>
          <w:szCs w:val="28"/>
        </w:rPr>
        <w:t>3.1 Dataset Reconstruction</w:t>
      </w:r>
    </w:p>
    <w:p w14:paraId="00540648"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As shown in Stage 1 of Figure 1, the working dataset was reconstructed from the public </w:t>
      </w:r>
      <w:proofErr w:type="spellStart"/>
      <w:r w:rsidRPr="00C6730C">
        <w:rPr>
          <w:rFonts w:ascii="Times New Roman" w:hAnsi="Times New Roman" w:cs="Times New Roman"/>
          <w:sz w:val="24"/>
          <w:szCs w:val="24"/>
        </w:rPr>
        <w:t>CycPeptMPDB</w:t>
      </w:r>
      <w:proofErr w:type="spellEnd"/>
      <w:r w:rsidRPr="00C6730C">
        <w:rPr>
          <w:rFonts w:ascii="Times New Roman" w:hAnsi="Times New Roman" w:cs="Times New Roman"/>
          <w:sz w:val="24"/>
          <w:szCs w:val="24"/>
        </w:rPr>
        <w:t xml:space="preserve"> peptide table. We retained cyclic peptides with main-chain monomer length equal to 6 and available permeability labels, yielding 2168 samples. The dataset spans 29 sources and years 2006-2023. The positive class was defined using a permeability threshold of -6.0, resulting in a positive rate of 0.686. The two largest sources were 2020_Townsend (1063 peptides) and 2016_Furukawa (688 peptides), making source-aware evaluation necessary.</w:t>
      </w:r>
    </w:p>
    <w:p w14:paraId="3281A2A4"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Exact HELM strings, permeability values, source labels, and years were retained. Candidate novelty was assessed against exact training HELM strings and through token-level and descriptor-space nearest-neighbor analysis. Because repeated or near-</w:t>
      </w:r>
      <w:r w:rsidRPr="00C6730C">
        <w:rPr>
          <w:rFonts w:ascii="Times New Roman" w:hAnsi="Times New Roman" w:cs="Times New Roman"/>
          <w:sz w:val="24"/>
          <w:szCs w:val="24"/>
        </w:rPr>
        <w:lastRenderedPageBreak/>
        <w:t>repeated chemotypes can bias random splits, source-level splits and leave-one-source-out analysis were used as stricter stress tests.</w:t>
      </w:r>
    </w:p>
    <w:p w14:paraId="3249470C" w14:textId="77777777" w:rsidR="007634CA" w:rsidRPr="00C6730C" w:rsidRDefault="00000000" w:rsidP="00C6730C">
      <w:pPr>
        <w:pStyle w:val="2"/>
        <w:spacing w:line="360" w:lineRule="auto"/>
        <w:jc w:val="both"/>
        <w:rPr>
          <w:rFonts w:ascii="Times New Roman" w:hAnsi="Times New Roman" w:cs="Times New Roman"/>
          <w:sz w:val="28"/>
          <w:szCs w:val="28"/>
        </w:rPr>
      </w:pPr>
      <w:r w:rsidRPr="00C6730C">
        <w:rPr>
          <w:rFonts w:ascii="Times New Roman" w:hAnsi="Times New Roman" w:cs="Times New Roman"/>
          <w:sz w:val="28"/>
          <w:szCs w:val="28"/>
        </w:rPr>
        <w:t>3.2 Feature Representation</w:t>
      </w:r>
    </w:p>
    <w:p w14:paraId="40375493"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Stage 2 of Figure 1 summarizes the feature representation, which avoided private molecular dynamics trajectories. HELM strings were tokenized to generate text features. Peptide-level descriptors included </w:t>
      </w:r>
      <w:proofErr w:type="spellStart"/>
      <w:r w:rsidRPr="00C6730C">
        <w:rPr>
          <w:rFonts w:ascii="Times New Roman" w:hAnsi="Times New Roman" w:cs="Times New Roman"/>
          <w:sz w:val="24"/>
          <w:szCs w:val="24"/>
        </w:rPr>
        <w:t>MolWt</w:t>
      </w:r>
      <w:proofErr w:type="spellEnd"/>
      <w:r w:rsidRPr="00C6730C">
        <w:rPr>
          <w:rFonts w:ascii="Times New Roman" w:hAnsi="Times New Roman" w:cs="Times New Roman"/>
          <w:sz w:val="24"/>
          <w:szCs w:val="24"/>
        </w:rPr>
        <w:t xml:space="preserve">, TPSA, </w:t>
      </w:r>
      <w:proofErr w:type="spellStart"/>
      <w:r w:rsidRPr="00C6730C">
        <w:rPr>
          <w:rFonts w:ascii="Times New Roman" w:hAnsi="Times New Roman" w:cs="Times New Roman"/>
          <w:sz w:val="24"/>
          <w:szCs w:val="24"/>
        </w:rPr>
        <w:t>MolLogP</w:t>
      </w:r>
      <w:proofErr w:type="spellEnd"/>
      <w:r w:rsidRPr="00C6730C">
        <w:rPr>
          <w:rFonts w:ascii="Times New Roman" w:hAnsi="Times New Roman" w:cs="Times New Roman"/>
          <w:sz w:val="24"/>
          <w:szCs w:val="24"/>
        </w:rPr>
        <w:t>, QED, FractionCSP3, heavy atom count, hydrogen bond acceptor/donor counts, and ring count. Monomer-level summaries included mean, standard deviation, and maximum values for selected descriptors. Composition features included natural residue ratio, N-methylated residue ratio, D-monomer ratio, aromatic ratio, sequence length, and unique monomer ratio.</w:t>
      </w:r>
    </w:p>
    <w:p w14:paraId="25B4749B" w14:textId="163BCBEA"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For text-based models, HELM tokens were represented using word-level TF-IDF n-grams with </w:t>
      </w:r>
      <w:r w:rsidR="0056629A" w:rsidRPr="0056629A">
        <w:rPr>
          <w:rFonts w:ascii="Times New Roman" w:hAnsi="Times New Roman" w:cs="Times New Roman"/>
          <w:position w:val="-10"/>
          <w:sz w:val="24"/>
          <w:szCs w:val="24"/>
        </w:rPr>
        <w:object w:dxaOrig="2240" w:dyaOrig="320" w14:anchorId="5D362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2pt;height:16.2pt" o:ole="">
            <v:imagedata r:id="rId8" o:title=""/>
          </v:shape>
          <o:OLEObject Type="Embed" ProgID="Equation.DSMT4" ShapeID="_x0000_i1031" DrawAspect="Content" ObjectID="_1839770152" r:id="rId9"/>
        </w:object>
      </w:r>
      <w:r w:rsidR="0056629A">
        <w:rPr>
          <w:rFonts w:ascii="Times New Roman" w:hAnsi="Times New Roman" w:cs="Times New Roman" w:hint="eastAsia"/>
          <w:sz w:val="24"/>
          <w:szCs w:val="24"/>
        </w:rPr>
        <w:t xml:space="preserve"> </w:t>
      </w:r>
      <w:r w:rsidRPr="00C6730C">
        <w:rPr>
          <w:rFonts w:ascii="Times New Roman" w:hAnsi="Times New Roman" w:cs="Times New Roman"/>
          <w:sz w:val="24"/>
          <w:szCs w:val="24"/>
        </w:rPr>
        <w:t>and character-window TF-IDF features with</w:t>
      </w:r>
      <w:r w:rsidR="0056629A">
        <w:rPr>
          <w:rFonts w:ascii="Times New Roman" w:hAnsi="Times New Roman" w:cs="Times New Roman" w:hint="eastAsia"/>
          <w:sz w:val="24"/>
          <w:szCs w:val="24"/>
        </w:rPr>
        <w:t xml:space="preserve"> </w:t>
      </w:r>
      <w:r w:rsidR="0056629A" w:rsidRPr="0056629A">
        <w:rPr>
          <w:rFonts w:ascii="Times New Roman" w:hAnsi="Times New Roman" w:cs="Times New Roman"/>
          <w:position w:val="-14"/>
          <w:sz w:val="24"/>
          <w:szCs w:val="24"/>
        </w:rPr>
        <w:object w:dxaOrig="2280" w:dyaOrig="400" w14:anchorId="093EF767">
          <v:shape id="_x0000_i1056" type="#_x0000_t75" style="width:114pt;height:19.8pt" o:ole="">
            <v:imagedata r:id="rId10" o:title=""/>
          </v:shape>
          <o:OLEObject Type="Embed" ProgID="Equation.DSMT4" ShapeID="_x0000_i1056" DrawAspect="Content" ObjectID="_1839770153" r:id="rId11"/>
        </w:object>
      </w:r>
      <w:r w:rsidRPr="00C6730C">
        <w:rPr>
          <w:rFonts w:ascii="Times New Roman" w:hAnsi="Times New Roman" w:cs="Times New Roman"/>
          <w:sz w:val="24"/>
          <w:szCs w:val="24"/>
        </w:rPr>
        <w:t>, both using</w:t>
      </w:r>
      <w:r w:rsidR="0056629A">
        <w:rPr>
          <w:rFonts w:ascii="Times New Roman" w:hAnsi="Times New Roman" w:cs="Times New Roman" w:hint="eastAsia"/>
          <w:sz w:val="24"/>
          <w:szCs w:val="24"/>
        </w:rPr>
        <w:t xml:space="preserve"> </w:t>
      </w:r>
      <w:r w:rsidR="0056629A" w:rsidRPr="0056629A">
        <w:rPr>
          <w:rFonts w:ascii="Times New Roman" w:hAnsi="Times New Roman" w:cs="Times New Roman"/>
          <w:position w:val="-10"/>
          <w:sz w:val="24"/>
          <w:szCs w:val="24"/>
        </w:rPr>
        <w:object w:dxaOrig="1240" w:dyaOrig="320" w14:anchorId="4DF0068E">
          <v:shape id="_x0000_i1055" type="#_x0000_t75" style="width:61.8pt;height:16.2pt" o:ole="">
            <v:imagedata r:id="rId12" o:title=""/>
          </v:shape>
          <o:OLEObject Type="Embed" ProgID="Equation.DSMT4" ShapeID="_x0000_i1055" DrawAspect="Content" ObjectID="_1839770154" r:id="rId13"/>
        </w:object>
      </w:r>
      <w:r w:rsidRPr="00C6730C">
        <w:rPr>
          <w:rFonts w:ascii="Times New Roman" w:hAnsi="Times New Roman" w:cs="Times New Roman"/>
          <w:sz w:val="24"/>
          <w:szCs w:val="24"/>
        </w:rPr>
        <w:t>. Numeric descriptor matrices were standardized inside each training split to avoid information leakage. Missing descriptor values were not imputed from the test set; feature construction was performed before splitting, while all model fitting, scaling, and threshold selection used training-only information.</w:t>
      </w:r>
    </w:p>
    <w:p w14:paraId="16EA12B0" w14:textId="77777777" w:rsidR="007634CA" w:rsidRPr="00C6730C" w:rsidRDefault="00000000" w:rsidP="00B3765B">
      <w:pPr>
        <w:pStyle w:val="2"/>
        <w:jc w:val="both"/>
        <w:rPr>
          <w:rFonts w:ascii="Times New Roman" w:hAnsi="Times New Roman" w:cs="Times New Roman"/>
          <w:sz w:val="28"/>
          <w:szCs w:val="28"/>
        </w:rPr>
      </w:pPr>
      <w:r w:rsidRPr="00C6730C">
        <w:rPr>
          <w:rFonts w:ascii="Times New Roman" w:hAnsi="Times New Roman" w:cs="Times New Roman"/>
          <w:sz w:val="28"/>
          <w:szCs w:val="28"/>
        </w:rPr>
        <w:t>3.3 Predictors and Evaluation</w:t>
      </w:r>
    </w:p>
    <w:p w14:paraId="2CDB9C24"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Stage 3 of Figure 1 summarizes the source-aware scoring module. We compared three main predictor families. The public baseline used TF-IDF HELM-token features and linear models. The enhanced predictor combined sequence-pattern and physicochemical descriptors. The hybrid predictor fused text and numeric descriptor branches. Descriptor-only models, including Random Forest, were used as source-aware baselines because they are easier to reproduce and inspect. Regression was </w:t>
      </w:r>
      <w:r w:rsidRPr="00C6730C">
        <w:rPr>
          <w:rFonts w:ascii="Times New Roman" w:hAnsi="Times New Roman" w:cs="Times New Roman"/>
          <w:sz w:val="24"/>
          <w:szCs w:val="24"/>
        </w:rPr>
        <w:lastRenderedPageBreak/>
        <w:t>evaluated by RMSE, MAE, and R2; classification was evaluated by accuracy, F1, AUROC, PR-AUC, MCC, and calibration statistics.</w:t>
      </w:r>
    </w:p>
    <w:p w14:paraId="0001DF62"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We intentionally used transparent and reproducible baselines rather than reimplementing recent complex cyclic-peptide deep learning models as direct competitors. </w:t>
      </w:r>
      <w:proofErr w:type="spellStart"/>
      <w:r w:rsidRPr="00C6730C">
        <w:rPr>
          <w:rFonts w:ascii="Times New Roman" w:hAnsi="Times New Roman" w:cs="Times New Roman"/>
          <w:sz w:val="24"/>
          <w:szCs w:val="24"/>
        </w:rPr>
        <w:t>Multi_CycGT</w:t>
      </w:r>
      <w:proofErr w:type="spellEnd"/>
      <w:r w:rsidRPr="00C6730C">
        <w:rPr>
          <w:rFonts w:ascii="Times New Roman" w:hAnsi="Times New Roman" w:cs="Times New Roman"/>
          <w:sz w:val="24"/>
          <w:szCs w:val="24"/>
        </w:rPr>
        <w:t xml:space="preserve"> reported average accuracy 0.8206 and AUC 0.8650 under its published evaluation protocol, and </w:t>
      </w:r>
      <w:proofErr w:type="spellStart"/>
      <w:r w:rsidRPr="00C6730C">
        <w:rPr>
          <w:rFonts w:ascii="Times New Roman" w:hAnsi="Times New Roman" w:cs="Times New Roman"/>
          <w:sz w:val="24"/>
          <w:szCs w:val="24"/>
        </w:rPr>
        <w:t>MultiCycPermea</w:t>
      </w:r>
      <w:proofErr w:type="spellEnd"/>
      <w:r w:rsidRPr="00C6730C">
        <w:rPr>
          <w:rFonts w:ascii="Times New Roman" w:hAnsi="Times New Roman" w:cs="Times New Roman"/>
          <w:sz w:val="24"/>
          <w:szCs w:val="24"/>
        </w:rPr>
        <w:t xml:space="preserve"> reported an in-distribution MSE reduction from 0.29 to 0.16 relative to </w:t>
      </w:r>
      <w:proofErr w:type="spellStart"/>
      <w:r w:rsidRPr="00C6730C">
        <w:rPr>
          <w:rFonts w:ascii="Times New Roman" w:hAnsi="Times New Roman" w:cs="Times New Roman"/>
          <w:sz w:val="24"/>
          <w:szCs w:val="24"/>
        </w:rPr>
        <w:t>Multi_CycGT</w:t>
      </w:r>
      <w:proofErr w:type="spellEnd"/>
      <w:r w:rsidRPr="00C6730C">
        <w:rPr>
          <w:rFonts w:ascii="Times New Roman" w:hAnsi="Times New Roman" w:cs="Times New Roman"/>
          <w:sz w:val="24"/>
          <w:szCs w:val="24"/>
        </w:rPr>
        <w:t>. These numbers demonstrate that deep multimodal models can be strong under their own settings, but directly comparing them to the present source-split protocol would not be fair unless the same held-out-source split and preprocessing were used. To our knowledge, source-split performance for these models has not been reported on the length-six subset used here. We therefore frame our transparent baselines as a reproducible source-aware stress test rather than as a claim of state-of-the-art same-distribution accuracy.</w:t>
      </w:r>
    </w:p>
    <w:p w14:paraId="62E35EF5"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random split used 1734 training and 434 test samples. The source split used 1063 training samples from 23 sources and 1105 test samples from 6 held-out sources. Leave-one-source-out evaluation was performed for sources with sufficient test samples.</w:t>
      </w:r>
    </w:p>
    <w:p w14:paraId="47BECB3A" w14:textId="7E2737EF"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Linear regression baselines used Ridge regression with alpha=1.0. Classification baselines used logistic regression with </w:t>
      </w:r>
      <w:r w:rsidR="0056629A" w:rsidRPr="0056629A">
        <w:rPr>
          <w:rFonts w:ascii="Times New Roman" w:hAnsi="Times New Roman" w:cs="Times New Roman"/>
          <w:position w:val="-10"/>
          <w:sz w:val="24"/>
          <w:szCs w:val="24"/>
        </w:rPr>
        <w:object w:dxaOrig="1740" w:dyaOrig="320" w14:anchorId="2FFB00BB">
          <v:shape id="_x0000_i1040" type="#_x0000_t75" style="width:87pt;height:16.2pt" o:ole="">
            <v:imagedata r:id="rId14" o:title=""/>
          </v:shape>
          <o:OLEObject Type="Embed" ProgID="Equation.DSMT4" ShapeID="_x0000_i1040" DrawAspect="Content" ObjectID="_1839770155" r:id="rId15"/>
        </w:object>
      </w:r>
      <w:r w:rsidRPr="00C6730C">
        <w:rPr>
          <w:rFonts w:ascii="Times New Roman" w:hAnsi="Times New Roman" w:cs="Times New Roman"/>
          <w:sz w:val="24"/>
          <w:szCs w:val="24"/>
        </w:rPr>
        <w:t>and. Descriptor Random Forest models used 400-500 trees, unrestricted depth,</w:t>
      </w:r>
      <w:r w:rsidR="0056629A">
        <w:rPr>
          <w:rFonts w:ascii="Times New Roman" w:hAnsi="Times New Roman" w:cs="Times New Roman" w:hint="eastAsia"/>
          <w:sz w:val="24"/>
          <w:szCs w:val="24"/>
        </w:rPr>
        <w:t xml:space="preserve"> </w:t>
      </w:r>
      <w:proofErr w:type="spellStart"/>
      <w:r w:rsidRPr="00C6730C">
        <w:rPr>
          <w:rFonts w:ascii="Times New Roman" w:hAnsi="Times New Roman" w:cs="Times New Roman"/>
          <w:sz w:val="24"/>
          <w:szCs w:val="24"/>
        </w:rPr>
        <w:t>min_samples_leaf</w:t>
      </w:r>
      <w:proofErr w:type="spellEnd"/>
      <w:r w:rsidRPr="00C6730C">
        <w:rPr>
          <w:rFonts w:ascii="Times New Roman" w:hAnsi="Times New Roman" w:cs="Times New Roman"/>
          <w:sz w:val="24"/>
          <w:szCs w:val="24"/>
        </w:rPr>
        <w:t xml:space="preserve">=2, </w:t>
      </w:r>
      <w:proofErr w:type="spellStart"/>
      <w:r w:rsidRPr="00C6730C">
        <w:rPr>
          <w:rFonts w:ascii="Times New Roman" w:hAnsi="Times New Roman" w:cs="Times New Roman"/>
          <w:sz w:val="24"/>
          <w:szCs w:val="24"/>
        </w:rPr>
        <w:t>random_state</w:t>
      </w:r>
      <w:proofErr w:type="spellEnd"/>
      <w:r w:rsidRPr="00C6730C">
        <w:rPr>
          <w:rFonts w:ascii="Times New Roman" w:hAnsi="Times New Roman" w:cs="Times New Roman"/>
          <w:sz w:val="24"/>
          <w:szCs w:val="24"/>
        </w:rPr>
        <w:t xml:space="preserve">=42, and </w:t>
      </w:r>
      <w:proofErr w:type="spellStart"/>
      <w:r w:rsidRPr="00C6730C">
        <w:rPr>
          <w:rFonts w:ascii="Times New Roman" w:hAnsi="Times New Roman" w:cs="Times New Roman"/>
          <w:sz w:val="24"/>
          <w:szCs w:val="24"/>
        </w:rPr>
        <w:t>class_weight</w:t>
      </w:r>
      <w:proofErr w:type="spellEnd"/>
      <w:r w:rsidRPr="00C6730C">
        <w:rPr>
          <w:rFonts w:ascii="Times New Roman" w:hAnsi="Times New Roman" w:cs="Times New Roman"/>
          <w:sz w:val="24"/>
          <w:szCs w:val="24"/>
        </w:rPr>
        <w:t>='</w:t>
      </w:r>
      <w:proofErr w:type="spellStart"/>
      <w:r w:rsidRPr="00C6730C">
        <w:rPr>
          <w:rFonts w:ascii="Times New Roman" w:hAnsi="Times New Roman" w:cs="Times New Roman"/>
          <w:sz w:val="24"/>
          <w:szCs w:val="24"/>
        </w:rPr>
        <w:t>balanced_subsample</w:t>
      </w:r>
      <w:proofErr w:type="spellEnd"/>
      <w:r w:rsidRPr="00C6730C">
        <w:rPr>
          <w:rFonts w:ascii="Times New Roman" w:hAnsi="Times New Roman" w:cs="Times New Roman"/>
          <w:sz w:val="24"/>
          <w:szCs w:val="24"/>
        </w:rPr>
        <w:t xml:space="preserve">' for classification. Repeated group-CV and descriptor benchmark splits used </w:t>
      </w:r>
      <w:proofErr w:type="spellStart"/>
      <w:r w:rsidRPr="00C6730C">
        <w:rPr>
          <w:rFonts w:ascii="Times New Roman" w:hAnsi="Times New Roman" w:cs="Times New Roman"/>
          <w:sz w:val="24"/>
          <w:szCs w:val="24"/>
        </w:rPr>
        <w:t>GroupShuffleSplit</w:t>
      </w:r>
      <w:proofErr w:type="spellEnd"/>
      <w:r w:rsidRPr="00C6730C">
        <w:rPr>
          <w:rFonts w:ascii="Times New Roman" w:hAnsi="Times New Roman" w:cs="Times New Roman"/>
          <w:sz w:val="24"/>
          <w:szCs w:val="24"/>
        </w:rPr>
        <w:t xml:space="preserve"> with five repeated source-aware splits. Classification thresholds for hybrid models were selected on an inner validation split by maximizing MCC over thresholds from 0.20 to 0.80.</w:t>
      </w:r>
    </w:p>
    <w:p w14:paraId="7D8738D2" w14:textId="097E9AA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For a peptide </w:t>
      </w:r>
      <w:r w:rsidR="0056629A" w:rsidRPr="0056629A">
        <w:rPr>
          <w:rFonts w:ascii="Times New Roman" w:hAnsi="Times New Roman" w:cs="Times New Roman"/>
          <w:position w:val="-12"/>
          <w:sz w:val="24"/>
          <w:szCs w:val="24"/>
        </w:rPr>
        <w:object w:dxaOrig="240" w:dyaOrig="360" w14:anchorId="6C0298E0">
          <v:shape id="_x0000_i1054" type="#_x0000_t75" style="width:12pt;height:18pt" o:ole="">
            <v:imagedata r:id="rId16" o:title=""/>
          </v:shape>
          <o:OLEObject Type="Embed" ProgID="Equation.DSMT4" ShapeID="_x0000_i1054" DrawAspect="Content" ObjectID="_1839770156" r:id="rId17"/>
        </w:object>
      </w:r>
      <w:r w:rsidRPr="00C6730C">
        <w:rPr>
          <w:rFonts w:ascii="Times New Roman" w:hAnsi="Times New Roman" w:cs="Times New Roman"/>
          <w:sz w:val="24"/>
          <w:szCs w:val="24"/>
        </w:rPr>
        <w:t xml:space="preserve">with observed permeability </w:t>
      </w:r>
      <w:r w:rsidR="0056629A" w:rsidRPr="0056629A">
        <w:rPr>
          <w:rFonts w:ascii="Times New Roman" w:hAnsi="Times New Roman" w:cs="Times New Roman"/>
          <w:position w:val="-12"/>
          <w:sz w:val="24"/>
          <w:szCs w:val="24"/>
        </w:rPr>
        <w:object w:dxaOrig="240" w:dyaOrig="360" w14:anchorId="31906AB8">
          <v:shape id="_x0000_i1059" type="#_x0000_t75" style="width:12pt;height:18pt" o:ole="">
            <v:imagedata r:id="rId18" o:title=""/>
          </v:shape>
          <o:OLEObject Type="Embed" ProgID="Equation.DSMT4" ShapeID="_x0000_i1059" DrawAspect="Content" ObjectID="_1839770157" r:id="rId19"/>
        </w:object>
      </w:r>
      <w:r w:rsidR="0056629A">
        <w:rPr>
          <w:rFonts w:ascii="Times New Roman" w:hAnsi="Times New Roman" w:cs="Times New Roman" w:hint="eastAsia"/>
          <w:sz w:val="24"/>
          <w:szCs w:val="24"/>
        </w:rPr>
        <w:t xml:space="preserve"> </w:t>
      </w:r>
      <w:r w:rsidRPr="00C6730C">
        <w:rPr>
          <w:rFonts w:ascii="Times New Roman" w:hAnsi="Times New Roman" w:cs="Times New Roman"/>
          <w:sz w:val="24"/>
          <w:szCs w:val="24"/>
        </w:rPr>
        <w:t>and source label</w:t>
      </w:r>
      <w:r w:rsidR="0056629A">
        <w:rPr>
          <w:rFonts w:ascii="Times New Roman" w:hAnsi="Times New Roman" w:cs="Times New Roman" w:hint="eastAsia"/>
          <w:sz w:val="24"/>
          <w:szCs w:val="24"/>
        </w:rPr>
        <w:t xml:space="preserve"> </w:t>
      </w:r>
      <w:r w:rsidR="0056629A" w:rsidRPr="0056629A">
        <w:rPr>
          <w:rFonts w:ascii="Times New Roman" w:hAnsi="Times New Roman" w:cs="Times New Roman"/>
          <w:position w:val="-12"/>
          <w:sz w:val="24"/>
          <w:szCs w:val="24"/>
        </w:rPr>
        <w:object w:dxaOrig="220" w:dyaOrig="360" w14:anchorId="318786EE">
          <v:shape id="_x0000_i1062" type="#_x0000_t75" style="width:10.8pt;height:18pt" o:ole="">
            <v:imagedata r:id="rId20" o:title=""/>
          </v:shape>
          <o:OLEObject Type="Embed" ProgID="Equation.DSMT4" ShapeID="_x0000_i1062" DrawAspect="Content" ObjectID="_1839770158" r:id="rId21"/>
        </w:object>
      </w:r>
      <w:r w:rsidRPr="00C6730C">
        <w:rPr>
          <w:rFonts w:ascii="Times New Roman" w:hAnsi="Times New Roman" w:cs="Times New Roman"/>
          <w:sz w:val="24"/>
          <w:szCs w:val="24"/>
        </w:rPr>
        <w:t>, the regression objective was defined as:</w:t>
      </w:r>
    </w:p>
    <w:p w14:paraId="04BE17A2" w14:textId="2BD33202" w:rsidR="0056629A" w:rsidRDefault="0056629A" w:rsidP="0056629A">
      <w:pPr>
        <w:spacing w:after="0" w:line="360" w:lineRule="auto"/>
        <w:jc w:val="center"/>
        <w:rPr>
          <w:rFonts w:ascii="Times New Roman" w:hAnsi="Times New Roman" w:cs="Times New Roman"/>
          <w:sz w:val="24"/>
          <w:szCs w:val="24"/>
        </w:rPr>
      </w:pPr>
      <w:r w:rsidRPr="0056629A">
        <w:rPr>
          <w:rFonts w:ascii="Times New Roman" w:hAnsi="Times New Roman" w:cs="Times New Roman"/>
          <w:position w:val="-28"/>
          <w:sz w:val="24"/>
          <w:szCs w:val="24"/>
        </w:rPr>
        <w:object w:dxaOrig="2860" w:dyaOrig="660" w14:anchorId="3D3DC0AA">
          <v:shape id="_x0000_i1051" type="#_x0000_t75" style="width:142.8pt;height:33pt" o:ole="">
            <v:imagedata r:id="rId22" o:title=""/>
          </v:shape>
          <o:OLEObject Type="Embed" ProgID="Equation.DSMT4" ShapeID="_x0000_i1051" DrawAspect="Content" ObjectID="_1839770159" r:id="rId23"/>
        </w:object>
      </w:r>
    </w:p>
    <w:p w14:paraId="41BF4AE5" w14:textId="5995744F"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binary permeability label was</w:t>
      </w:r>
      <w:r w:rsidR="00D35690">
        <w:rPr>
          <w:rFonts w:ascii="Times New Roman" w:hAnsi="Times New Roman" w:cs="Times New Roman" w:hint="eastAsia"/>
          <w:sz w:val="24"/>
          <w:szCs w:val="24"/>
        </w:rPr>
        <w:t xml:space="preserve"> </w:t>
      </w:r>
      <w:r w:rsidR="00D35690" w:rsidRPr="00D35690">
        <w:rPr>
          <w:rFonts w:ascii="Times New Roman" w:hAnsi="Times New Roman" w:cs="Times New Roman"/>
          <w:position w:val="-12"/>
          <w:sz w:val="24"/>
          <w:szCs w:val="24"/>
        </w:rPr>
        <w:object w:dxaOrig="1600" w:dyaOrig="360" w14:anchorId="5665B08A">
          <v:shape id="_x0000_i1065" type="#_x0000_t75" style="width:79.8pt;height:18pt" o:ole="">
            <v:imagedata r:id="rId24" o:title=""/>
          </v:shape>
          <o:OLEObject Type="Embed" ProgID="Equation.DSMT4" ShapeID="_x0000_i1065" DrawAspect="Content" ObjectID="_1839770160" r:id="rId25"/>
        </w:object>
      </w:r>
      <w:r w:rsidRPr="00C6730C">
        <w:rPr>
          <w:rFonts w:ascii="Times New Roman" w:hAnsi="Times New Roman" w:cs="Times New Roman"/>
          <w:sz w:val="24"/>
          <w:szCs w:val="24"/>
        </w:rPr>
        <w:t>. Classification performance was evaluated from</w:t>
      </w:r>
      <w:r w:rsidR="00D35690">
        <w:rPr>
          <w:rFonts w:ascii="Times New Roman" w:hAnsi="Times New Roman" w:cs="Times New Roman" w:hint="eastAsia"/>
          <w:sz w:val="24"/>
          <w:szCs w:val="24"/>
        </w:rPr>
        <w:t xml:space="preserve"> </w:t>
      </w:r>
      <w:r w:rsidR="00D35690" w:rsidRPr="00D35690">
        <w:rPr>
          <w:rFonts w:ascii="Times New Roman" w:hAnsi="Times New Roman" w:cs="Times New Roman"/>
          <w:position w:val="-12"/>
          <w:sz w:val="24"/>
          <w:szCs w:val="24"/>
        </w:rPr>
        <w:object w:dxaOrig="1660" w:dyaOrig="360" w14:anchorId="611E8948">
          <v:shape id="_x0000_i1068" type="#_x0000_t75" style="width:82.8pt;height:18pt" o:ole="">
            <v:imagedata r:id="rId26" o:title=""/>
          </v:shape>
          <o:OLEObject Type="Embed" ProgID="Equation.DSMT4" ShapeID="_x0000_i1068" DrawAspect="Content" ObjectID="_1839770161" r:id="rId27"/>
        </w:object>
      </w:r>
      <w:r w:rsidRPr="00C6730C">
        <w:rPr>
          <w:rFonts w:ascii="Times New Roman" w:hAnsi="Times New Roman" w:cs="Times New Roman"/>
          <w:sz w:val="24"/>
          <w:szCs w:val="24"/>
        </w:rPr>
        <w:t>. To emphasize source-aware reliability, we report both random-split risk and held-out-source risk:</w:t>
      </w:r>
    </w:p>
    <w:p w14:paraId="62A906A9" w14:textId="0D3CCFFE" w:rsidR="007634CA" w:rsidRPr="00C6730C" w:rsidRDefault="00D35690" w:rsidP="00D35690">
      <w:pPr>
        <w:spacing w:after="0" w:line="360" w:lineRule="auto"/>
        <w:jc w:val="center"/>
        <w:rPr>
          <w:rFonts w:ascii="Times New Roman" w:hAnsi="Times New Roman" w:cs="Times New Roman" w:hint="eastAsia"/>
          <w:sz w:val="24"/>
          <w:szCs w:val="24"/>
        </w:rPr>
      </w:pPr>
      <w:r w:rsidRPr="00D35690">
        <w:rPr>
          <w:rFonts w:ascii="Times New Roman" w:hAnsi="Times New Roman" w:cs="Times New Roman"/>
          <w:position w:val="-32"/>
          <w:sz w:val="24"/>
          <w:szCs w:val="24"/>
        </w:rPr>
        <w:object w:dxaOrig="4300" w:dyaOrig="700" w14:anchorId="551F0224">
          <v:shape id="_x0000_i1071" type="#_x0000_t75" style="width:214.8pt;height:34.8pt" o:ole="">
            <v:imagedata r:id="rId28" o:title=""/>
          </v:shape>
          <o:OLEObject Type="Embed" ProgID="Equation.DSMT4" ShapeID="_x0000_i1071" DrawAspect="Content" ObjectID="_1839770162" r:id="rId29"/>
        </w:object>
      </w:r>
    </w:p>
    <w:p w14:paraId="09716893" w14:textId="77777777" w:rsidR="007634CA" w:rsidRPr="00B3765B" w:rsidRDefault="00000000" w:rsidP="00B3765B">
      <w:pPr>
        <w:pStyle w:val="2"/>
        <w:jc w:val="both"/>
        <w:rPr>
          <w:rFonts w:ascii="Times New Roman" w:hAnsi="Times New Roman" w:cs="Times New Roman"/>
          <w:sz w:val="28"/>
          <w:szCs w:val="28"/>
        </w:rPr>
      </w:pPr>
      <w:r w:rsidRPr="00B3765B">
        <w:rPr>
          <w:rFonts w:ascii="Times New Roman" w:hAnsi="Times New Roman" w:cs="Times New Roman"/>
          <w:sz w:val="28"/>
          <w:szCs w:val="28"/>
        </w:rPr>
        <w:t>3.4 Dual-Route Candidate Design</w:t>
      </w:r>
    </w:p>
    <w:p w14:paraId="5EC58772"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Stage 4 of Figure 1 summarizes the dual-route design module. The constrained optimization route starts from high-quality seeds and applies single- or double-site monomer substitutions. Candidate ranking combines predicted permeability, predicted positive probability, estimated improvement over the parent, uncertainty penalties, and diversity filtering. This route is intended for low-risk exploitation around known permeable scaffolds.</w:t>
      </w:r>
    </w:p>
    <w:p w14:paraId="5AEA1B85"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In the constrained route, candidate pools were generated by single- and double-site substitutions from high-quality parent peptides using the observed monomer vocabulary. Candidates were then filtered by exact HELM uniqueness, predicted improvement, predicted positive probability, uncertainty, and composition-level diversity. The final shortlist was selected after composition de-duplication to avoid reporting multiple near-identical analogs.</w:t>
      </w:r>
    </w:p>
    <w:p w14:paraId="622EA7DD"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de novo route learns position-level and global monomer preferences from high-permeability elite peptides and then performs guided sampling followed by local refinement. Candidates are scored by a multi-objective function including permeability quality, classification probability, motif prior, composition alignment, uncertainty stability, and novelty. This route is intended to explore a broader but still chemically constrained neighborhood.</w:t>
      </w:r>
    </w:p>
    <w:p w14:paraId="32EAAE5D" w14:textId="77777777" w:rsidR="007634CA" w:rsidRPr="00C6730C" w:rsidRDefault="00000000" w:rsidP="00D35690">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lastRenderedPageBreak/>
        <w:t>For de novo generation, the first stage sampled candidates from learned position priors and global monomer frequencies. A second focused-refinement stage perturbed high-scoring candidates while preserving the length-six cyclic peptide constraint. The full generator and its ablated variants used the same final count target so that quality-diversity differences reflected scoring terms rather than list size. The reported shortlists were deliberately conservative: they are high-confidence, composition-unique priority sets for downstream validation, not the full output capacity of either generator.</w:t>
      </w:r>
    </w:p>
    <w:p w14:paraId="703000E5"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robust candidate score used for prioritization can be summarized as:</w:t>
      </w:r>
    </w:p>
    <w:p w14:paraId="4551F2B8" w14:textId="3E6D2947" w:rsidR="00D35690" w:rsidRDefault="00D35690" w:rsidP="00D35690">
      <w:pPr>
        <w:spacing w:after="0" w:line="360" w:lineRule="auto"/>
        <w:jc w:val="center"/>
        <w:rPr>
          <w:rFonts w:ascii="Times New Roman" w:hAnsi="Times New Roman" w:cs="Times New Roman"/>
          <w:sz w:val="24"/>
          <w:szCs w:val="24"/>
        </w:rPr>
      </w:pPr>
      <w:r w:rsidRPr="00D35690">
        <w:rPr>
          <w:rFonts w:ascii="Times New Roman" w:hAnsi="Times New Roman" w:cs="Times New Roman"/>
          <w:position w:val="-14"/>
          <w:sz w:val="24"/>
          <w:szCs w:val="24"/>
        </w:rPr>
        <w:object w:dxaOrig="6280" w:dyaOrig="380" w14:anchorId="022C3F0B">
          <v:shape id="_x0000_i1074" type="#_x0000_t75" style="width:313.8pt;height:19.2pt" o:ole="">
            <v:imagedata r:id="rId30" o:title=""/>
          </v:shape>
          <o:OLEObject Type="Embed" ProgID="Equation.DSMT4" ShapeID="_x0000_i1074" DrawAspect="Content" ObjectID="_1839770163" r:id="rId31"/>
        </w:object>
      </w:r>
    </w:p>
    <w:p w14:paraId="064A69B8" w14:textId="405F2E3E"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 xml:space="preserve">Here </w:t>
      </w:r>
      <w:r w:rsidR="00D35690" w:rsidRPr="00D35690">
        <w:rPr>
          <w:rFonts w:ascii="Times New Roman" w:hAnsi="Times New Roman" w:cs="Times New Roman"/>
          <w:position w:val="-14"/>
          <w:sz w:val="24"/>
          <w:szCs w:val="24"/>
        </w:rPr>
        <w:object w:dxaOrig="499" w:dyaOrig="380" w14:anchorId="0DAD7397">
          <v:shape id="_x0000_i1077" type="#_x0000_t75" style="width:25.2pt;height:19.2pt" o:ole="">
            <v:imagedata r:id="rId32" o:title=""/>
          </v:shape>
          <o:OLEObject Type="Embed" ProgID="Equation.DSMT4" ShapeID="_x0000_i1077" DrawAspect="Content" ObjectID="_1839770164" r:id="rId33"/>
        </w:object>
      </w:r>
      <w:r w:rsidR="00D35690">
        <w:rPr>
          <w:rFonts w:ascii="Times New Roman" w:hAnsi="Times New Roman" w:cs="Times New Roman" w:hint="eastAsia"/>
          <w:sz w:val="24"/>
          <w:szCs w:val="24"/>
        </w:rPr>
        <w:t xml:space="preserve"> </w:t>
      </w:r>
      <w:r w:rsidRPr="00C6730C">
        <w:rPr>
          <w:rFonts w:ascii="Times New Roman" w:hAnsi="Times New Roman" w:cs="Times New Roman"/>
          <w:sz w:val="24"/>
          <w:szCs w:val="24"/>
        </w:rPr>
        <w:t xml:space="preserve">is the predicted permeability, </w:t>
      </w:r>
      <w:r w:rsidR="00D35690" w:rsidRPr="00D35690">
        <w:rPr>
          <w:rFonts w:ascii="Times New Roman" w:hAnsi="Times New Roman" w:cs="Times New Roman"/>
          <w:position w:val="-14"/>
          <w:sz w:val="24"/>
          <w:szCs w:val="24"/>
        </w:rPr>
        <w:object w:dxaOrig="440" w:dyaOrig="380" w14:anchorId="4DDDAF2B">
          <v:shape id="_x0000_i1080" type="#_x0000_t75" style="width:22.2pt;height:19.2pt" o:ole="">
            <v:imagedata r:id="rId34" o:title=""/>
          </v:shape>
          <o:OLEObject Type="Embed" ProgID="Equation.DSMT4" ShapeID="_x0000_i1080" DrawAspect="Content" ObjectID="_1839770165" r:id="rId35"/>
        </w:object>
      </w:r>
      <w:r w:rsidRPr="00C6730C">
        <w:rPr>
          <w:rFonts w:ascii="Times New Roman" w:hAnsi="Times New Roman" w:cs="Times New Roman"/>
          <w:sz w:val="24"/>
          <w:szCs w:val="24"/>
        </w:rPr>
        <w:t xml:space="preserve"> is the predicted positive probability, </w:t>
      </w:r>
      <w:r w:rsidR="00D35690" w:rsidRPr="00D35690">
        <w:rPr>
          <w:rFonts w:ascii="Times New Roman" w:hAnsi="Times New Roman" w:cs="Times New Roman"/>
          <w:position w:val="-14"/>
          <w:sz w:val="24"/>
          <w:szCs w:val="24"/>
        </w:rPr>
        <w:object w:dxaOrig="540" w:dyaOrig="380" w14:anchorId="403424CA">
          <v:shape id="_x0000_i1083" type="#_x0000_t75" style="width:27pt;height:19.2pt" o:ole="">
            <v:imagedata r:id="rId36" o:title=""/>
          </v:shape>
          <o:OLEObject Type="Embed" ProgID="Equation.DSMT4" ShapeID="_x0000_i1083" DrawAspect="Content" ObjectID="_1839770166" r:id="rId37"/>
        </w:object>
      </w:r>
      <w:r w:rsidR="00D35690">
        <w:rPr>
          <w:rFonts w:ascii="Times New Roman" w:hAnsi="Times New Roman" w:cs="Times New Roman" w:hint="eastAsia"/>
          <w:sz w:val="24"/>
          <w:szCs w:val="24"/>
        </w:rPr>
        <w:t xml:space="preserve"> </w:t>
      </w:r>
      <w:r w:rsidRPr="00C6730C">
        <w:rPr>
          <w:rFonts w:ascii="Times New Roman" w:hAnsi="Times New Roman" w:cs="Times New Roman"/>
          <w:sz w:val="24"/>
          <w:szCs w:val="24"/>
        </w:rPr>
        <w:t xml:space="preserve">is the prediction uncertainty proxy, and </w:t>
      </w:r>
      <w:r w:rsidR="00D35690" w:rsidRPr="00D35690">
        <w:rPr>
          <w:rFonts w:ascii="Times New Roman" w:hAnsi="Times New Roman" w:cs="Times New Roman"/>
          <w:position w:val="-12"/>
          <w:sz w:val="24"/>
          <w:szCs w:val="24"/>
        </w:rPr>
        <w:object w:dxaOrig="520" w:dyaOrig="360" w14:anchorId="65AF49CF">
          <v:shape id="_x0000_i1086" type="#_x0000_t75" style="width:25.8pt;height:18pt" o:ole="">
            <v:imagedata r:id="rId38" o:title=""/>
          </v:shape>
          <o:OLEObject Type="Embed" ProgID="Equation.DSMT4" ShapeID="_x0000_i1086" DrawAspect="Content" ObjectID="_1839770167" r:id="rId39"/>
        </w:object>
      </w:r>
      <w:r w:rsidR="00D35690">
        <w:rPr>
          <w:rFonts w:ascii="Times New Roman" w:hAnsi="Times New Roman" w:cs="Times New Roman" w:hint="eastAsia"/>
          <w:sz w:val="24"/>
          <w:szCs w:val="24"/>
        </w:rPr>
        <w:t xml:space="preserve"> </w:t>
      </w:r>
      <w:r w:rsidRPr="00C6730C">
        <w:rPr>
          <w:rFonts w:ascii="Times New Roman" w:hAnsi="Times New Roman" w:cs="Times New Roman"/>
          <w:sz w:val="24"/>
          <w:szCs w:val="24"/>
        </w:rPr>
        <w:t>penalizes excessive closeness to already selected or training-set candidates when diversity filtering is applied. The weights were used as ranking hyperparameters and were fixed before final shortlist reporting after preliminary inspection of validation-set ranking behavior; they were not optimized on the final held-out candidates. Because these weights can affect the exploitation-exploration balance, we report generator ablations to test whether the individual scoring terms change shortlist properties. For de novo generation, the final multi-objective score was:</w:t>
      </w:r>
    </w:p>
    <w:p w14:paraId="5DEF8ACA" w14:textId="7B7EBD01" w:rsidR="00D35690" w:rsidRDefault="00D35690" w:rsidP="00D35690">
      <w:pPr>
        <w:spacing w:after="0" w:line="360" w:lineRule="auto"/>
        <w:jc w:val="center"/>
        <w:rPr>
          <w:rFonts w:ascii="Times New Roman" w:hAnsi="Times New Roman" w:cs="Times New Roman"/>
          <w:sz w:val="24"/>
          <w:szCs w:val="24"/>
        </w:rPr>
      </w:pPr>
      <w:r w:rsidRPr="00D35690">
        <w:rPr>
          <w:rFonts w:ascii="Times New Roman" w:hAnsi="Times New Roman" w:cs="Times New Roman"/>
          <w:position w:val="-28"/>
          <w:sz w:val="24"/>
          <w:szCs w:val="24"/>
        </w:rPr>
        <w:object w:dxaOrig="7980" w:dyaOrig="540" w14:anchorId="5095939C">
          <v:shape id="_x0000_i1089" type="#_x0000_t75" style="width:399pt;height:27pt" o:ole="">
            <v:imagedata r:id="rId40" o:title=""/>
          </v:shape>
          <o:OLEObject Type="Embed" ProgID="Equation.DSMT4" ShapeID="_x0000_i1089" DrawAspect="Content" ObjectID="_1839770168" r:id="rId41"/>
        </w:object>
      </w:r>
    </w:p>
    <w:p w14:paraId="2C9F1F1B" w14:textId="6F7908CD" w:rsidR="00D35690" w:rsidRDefault="00000000" w:rsidP="00D35690">
      <w:pPr>
        <w:spacing w:after="0" w:line="276" w:lineRule="auto"/>
        <w:jc w:val="both"/>
        <w:rPr>
          <w:rFonts w:ascii="Times New Roman" w:hAnsi="Times New Roman" w:cs="Times New Roman" w:hint="eastAsia"/>
          <w:sz w:val="24"/>
          <w:szCs w:val="24"/>
        </w:rPr>
      </w:pPr>
      <w:r w:rsidRPr="00C6730C">
        <w:rPr>
          <w:rFonts w:ascii="Times New Roman" w:hAnsi="Times New Roman" w:cs="Times New Roman"/>
          <w:sz w:val="24"/>
          <w:szCs w:val="24"/>
        </w:rPr>
        <w:t>Q, M, C, U, and N denote permeability quality, motif prior, composition alignment, uncertainty stability, and novelty, respectively. Equal-order weights were used to avoid letting any single term dominate by construction, while the ablation experiments remove each term or constraint to assess sensitivity. Novelty against the training set was measured by exact HELM matching and nearest-neighbor token Jaccard similarity:</w:t>
      </w:r>
    </w:p>
    <w:p w14:paraId="6BA1B5FA" w14:textId="414BB60B" w:rsidR="00D35690" w:rsidRDefault="00D35690" w:rsidP="00D35690">
      <w:pPr>
        <w:spacing w:after="0" w:line="480" w:lineRule="auto"/>
        <w:jc w:val="center"/>
        <w:rPr>
          <w:rFonts w:ascii="Times New Roman" w:hAnsi="Times New Roman" w:cs="Times New Roman"/>
          <w:sz w:val="24"/>
          <w:szCs w:val="24"/>
        </w:rPr>
      </w:pPr>
      <w:r w:rsidRPr="00D35690">
        <w:rPr>
          <w:rFonts w:ascii="Times New Roman" w:hAnsi="Times New Roman" w:cs="Times New Roman"/>
          <w:position w:val="-28"/>
          <w:sz w:val="24"/>
          <w:szCs w:val="24"/>
        </w:rPr>
        <w:object w:dxaOrig="2320" w:dyaOrig="660" w14:anchorId="07499216">
          <v:shape id="_x0000_i1092" type="#_x0000_t75" style="width:115.8pt;height:33pt" o:ole="">
            <v:imagedata r:id="rId42" o:title=""/>
          </v:shape>
          <o:OLEObject Type="Embed" ProgID="Equation.DSMT4" ShapeID="_x0000_i1092" DrawAspect="Content" ObjectID="_1839770169" r:id="rId43"/>
        </w:object>
      </w:r>
    </w:p>
    <w:p w14:paraId="1DCD594E" w14:textId="77777777" w:rsidR="00D35690" w:rsidRPr="00C6730C" w:rsidRDefault="00D35690" w:rsidP="00D35690">
      <w:pPr>
        <w:spacing w:after="0" w:line="360" w:lineRule="auto"/>
        <w:jc w:val="center"/>
        <w:rPr>
          <w:rFonts w:ascii="Times New Roman" w:hAnsi="Times New Roman" w:cs="Times New Roman"/>
          <w:sz w:val="24"/>
          <w:szCs w:val="24"/>
        </w:rPr>
      </w:pPr>
    </w:p>
    <w:p w14:paraId="24A8A8D0" w14:textId="77777777" w:rsidR="007634CA" w:rsidRPr="00B3765B" w:rsidRDefault="00000000" w:rsidP="00B3765B">
      <w:pPr>
        <w:pStyle w:val="2"/>
        <w:jc w:val="both"/>
        <w:rPr>
          <w:rFonts w:ascii="Times New Roman" w:hAnsi="Times New Roman" w:cs="Times New Roman"/>
          <w:sz w:val="28"/>
          <w:szCs w:val="28"/>
        </w:rPr>
      </w:pPr>
      <w:r w:rsidRPr="00B3765B">
        <w:rPr>
          <w:rFonts w:ascii="Times New Roman" w:hAnsi="Times New Roman" w:cs="Times New Roman"/>
          <w:sz w:val="28"/>
          <w:szCs w:val="28"/>
        </w:rPr>
        <w:t>3.5 Candidate Validation</w:t>
      </w:r>
    </w:p>
    <w:p w14:paraId="7560EF47" w14:textId="77777777" w:rsidR="007634CA" w:rsidRPr="00B3765B" w:rsidRDefault="00000000" w:rsidP="00D35690">
      <w:pPr>
        <w:spacing w:after="0" w:line="360" w:lineRule="auto"/>
        <w:ind w:firstLine="420"/>
        <w:jc w:val="both"/>
        <w:rPr>
          <w:rFonts w:ascii="Times New Roman" w:hAnsi="Times New Roman" w:cs="Times New Roman"/>
          <w:sz w:val="24"/>
          <w:szCs w:val="24"/>
        </w:rPr>
      </w:pPr>
      <w:r w:rsidRPr="00B3765B">
        <w:rPr>
          <w:rFonts w:ascii="Times New Roman" w:hAnsi="Times New Roman" w:cs="Times New Roman"/>
          <w:sz w:val="24"/>
          <w:szCs w:val="24"/>
        </w:rPr>
        <w:t>Stage 5 of Figure 1 summarizes the validation and analysis module. Generated candidates were evaluated using exact novelty against the training set, uniqueness, pairwise Jaccard diversity, quality-diversity tradeoff, generator ablation, uncertainty summaries, source-heterogeneity analysis, 3D polarity proxy nearest-neighbor analysis, and token/descriptor-space novelty depth. These analyses were designed to reduce the risk that the shortlist simply reproduces training-set neighbors or exploits a poorly calibrated scorer.</w:t>
      </w:r>
    </w:p>
    <w:p w14:paraId="22C86E15" w14:textId="77777777" w:rsidR="007634CA" w:rsidRPr="00B3765B" w:rsidRDefault="00000000" w:rsidP="00D35690">
      <w:pPr>
        <w:spacing w:after="0" w:line="360" w:lineRule="auto"/>
        <w:ind w:firstLine="420"/>
        <w:jc w:val="both"/>
        <w:rPr>
          <w:rFonts w:ascii="Times New Roman" w:hAnsi="Times New Roman" w:cs="Times New Roman"/>
          <w:sz w:val="24"/>
          <w:szCs w:val="24"/>
        </w:rPr>
      </w:pPr>
      <w:r w:rsidRPr="00B3765B">
        <w:rPr>
          <w:rFonts w:ascii="Times New Roman" w:hAnsi="Times New Roman" w:cs="Times New Roman"/>
          <w:sz w:val="24"/>
          <w:szCs w:val="24"/>
        </w:rPr>
        <w:t>Calibration was assessed using Brier score and expected calibration error (ECE) on held-out predictions. Confidence intervals for prediction metrics were computed by nonparametric bootstrap with 1000 resamples. Route-level quality and diversity comparisons used bootstrap confidence intervals with 4000 resamples and permutation tests with 6000 permutations. Nearest-neighbor novelty was reported both in token space and standardized descriptor space so that exact HELM novelty would not be overinterpreted as complete chemical novelty.</w:t>
      </w:r>
    </w:p>
    <w:p w14:paraId="3E065D8E" w14:textId="4FF74A6F" w:rsidR="00851C66" w:rsidRPr="00851C66" w:rsidRDefault="00000000" w:rsidP="00851C66">
      <w:pPr>
        <w:pStyle w:val="2"/>
        <w:spacing w:line="360" w:lineRule="auto"/>
        <w:jc w:val="both"/>
        <w:rPr>
          <w:rFonts w:ascii="Times New Roman" w:hAnsi="Times New Roman" w:cs="Times New Roman" w:hint="eastAsia"/>
          <w:sz w:val="28"/>
          <w:szCs w:val="28"/>
        </w:rPr>
      </w:pPr>
      <w:r w:rsidRPr="00B3765B">
        <w:rPr>
          <w:rFonts w:ascii="Times New Roman" w:hAnsi="Times New Roman" w:cs="Times New Roman"/>
          <w:sz w:val="28"/>
          <w:szCs w:val="28"/>
        </w:rPr>
        <w:t>3.6 Implementation and Reproducibility</w:t>
      </w:r>
    </w:p>
    <w:p w14:paraId="7D5B9C0F" w14:textId="153FE9C1" w:rsidR="00C6730C" w:rsidRPr="00B3765B" w:rsidRDefault="00851C66" w:rsidP="00851C66">
      <w:pPr>
        <w:spacing w:after="0" w:line="360" w:lineRule="auto"/>
        <w:jc w:val="both"/>
        <w:rPr>
          <w:rFonts w:ascii="Times New Roman" w:hAnsi="Times New Roman" w:cs="Times New Roman"/>
          <w:sz w:val="24"/>
          <w:szCs w:val="24"/>
        </w:rPr>
      </w:pPr>
      <w:r w:rsidRPr="00851C66">
        <w:rPr>
          <w:rFonts w:ascii="Times New Roman" w:hAnsi="Times New Roman" w:cs="Times New Roman" w:hint="eastAsia"/>
          <w:sz w:val="24"/>
          <w:szCs w:val="24"/>
        </w:rPr>
        <w:t>This work is a purely computational chemistry and computer-aided drug design study. No candidate peptides were synthesized, purified, or experimentally characterized; therefore, the generated molecules should be interpreted as prioritized virtual candidates for future wet-lab validation. All computational analyses were implemented in Python. The codebase is organized into modular pipelines covering data preprocessing, predictor training, source-aware benchmarking, dual-route candidate generation, and downstream evaluation. To support reproducibility, the complete repository, including source code, package dependencies, and step-by-step instructions for reproducing the reported tables and figures, will be made publicly available upon publication.</w:t>
      </w:r>
    </w:p>
    <w:p w14:paraId="20C27E9A"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lastRenderedPageBreak/>
        <w:t>4. Results</w:t>
      </w:r>
    </w:p>
    <w:p w14:paraId="31FAC6CD" w14:textId="7CA97DFC" w:rsidR="00C6730C" w:rsidRPr="00C6730C" w:rsidRDefault="00000000" w:rsidP="00B3765B">
      <w:pPr>
        <w:pStyle w:val="2"/>
        <w:jc w:val="both"/>
        <w:rPr>
          <w:rFonts w:ascii="Times New Roman" w:hAnsi="Times New Roman" w:cs="Times New Roman" w:hint="eastAsia"/>
          <w:sz w:val="28"/>
          <w:szCs w:val="28"/>
        </w:rPr>
      </w:pPr>
      <w:r w:rsidRPr="00C6730C">
        <w:rPr>
          <w:rFonts w:ascii="Times New Roman" w:hAnsi="Times New Roman" w:cs="Times New Roman"/>
          <w:sz w:val="28"/>
          <w:szCs w:val="28"/>
        </w:rPr>
        <w:t>4.1 Dataset and Protocol Summary</w:t>
      </w:r>
    </w:p>
    <w:p w14:paraId="1DAB1CFF" w14:textId="77777777" w:rsidR="007634CA" w:rsidRPr="00C6730C" w:rsidRDefault="00000000" w:rsidP="00B3765B">
      <w:pPr>
        <w:jc w:val="both"/>
        <w:rPr>
          <w:rFonts w:ascii="Times New Roman" w:hAnsi="Times New Roman" w:cs="Times New Roman"/>
          <w:bCs/>
          <w:sz w:val="21"/>
          <w:szCs w:val="21"/>
        </w:rPr>
      </w:pPr>
      <w:r w:rsidRPr="00C6730C">
        <w:rPr>
          <w:rFonts w:ascii="Times New Roman" w:hAnsi="Times New Roman" w:cs="Times New Roman"/>
          <w:bCs/>
          <w:sz w:val="21"/>
          <w:szCs w:val="21"/>
        </w:rPr>
        <w:t>Table 1. Dataset and evaluation protocol summary.</w:t>
      </w:r>
    </w:p>
    <w:tbl>
      <w:tblPr>
        <w:tblW w:w="5000" w:type="pct"/>
        <w:tblInd w:w="1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4148"/>
        <w:gridCol w:w="4178"/>
      </w:tblGrid>
      <w:tr w:rsidR="007634CA" w:rsidRPr="00B3765B" w14:paraId="6FC976AA" w14:textId="77777777">
        <w:tblPrEx>
          <w:tblCellMar>
            <w:top w:w="0" w:type="dxa"/>
            <w:bottom w:w="0" w:type="dxa"/>
          </w:tblCellMar>
        </w:tblPrEx>
        <w:tc>
          <w:tcPr>
            <w:tcW w:w="4500" w:type="dxa"/>
            <w:tcBorders>
              <w:bottom w:val="single" w:sz="6" w:space="0" w:color="000000"/>
            </w:tcBorders>
          </w:tcPr>
          <w:p w14:paraId="4884252C"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Item</w:t>
            </w:r>
          </w:p>
        </w:tc>
        <w:tc>
          <w:tcPr>
            <w:tcW w:w="4500" w:type="dxa"/>
            <w:tcBorders>
              <w:bottom w:val="single" w:sz="6" w:space="0" w:color="000000"/>
            </w:tcBorders>
          </w:tcPr>
          <w:p w14:paraId="1092EE37"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Value</w:t>
            </w:r>
          </w:p>
        </w:tc>
      </w:tr>
      <w:tr w:rsidR="007634CA" w:rsidRPr="00B3765B" w14:paraId="3CE521EB" w14:textId="77777777">
        <w:tblPrEx>
          <w:tblCellMar>
            <w:top w:w="0" w:type="dxa"/>
            <w:bottom w:w="0" w:type="dxa"/>
          </w:tblCellMar>
        </w:tblPrEx>
        <w:tc>
          <w:tcPr>
            <w:tcW w:w="4500" w:type="dxa"/>
          </w:tcPr>
          <w:p w14:paraId="1EDA4AE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Length-six peptides</w:t>
            </w:r>
          </w:p>
        </w:tc>
        <w:tc>
          <w:tcPr>
            <w:tcW w:w="4500" w:type="dxa"/>
          </w:tcPr>
          <w:p w14:paraId="3779209E"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2168</w:t>
            </w:r>
          </w:p>
        </w:tc>
      </w:tr>
      <w:tr w:rsidR="007634CA" w:rsidRPr="00B3765B" w14:paraId="566B6965" w14:textId="77777777">
        <w:tblPrEx>
          <w:tblCellMar>
            <w:top w:w="0" w:type="dxa"/>
            <w:bottom w:w="0" w:type="dxa"/>
          </w:tblCellMar>
        </w:tblPrEx>
        <w:tc>
          <w:tcPr>
            <w:tcW w:w="4500" w:type="dxa"/>
          </w:tcPr>
          <w:p w14:paraId="3D530A04"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Sources</w:t>
            </w:r>
          </w:p>
        </w:tc>
        <w:tc>
          <w:tcPr>
            <w:tcW w:w="4500" w:type="dxa"/>
          </w:tcPr>
          <w:p w14:paraId="35B40688"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29</w:t>
            </w:r>
          </w:p>
        </w:tc>
      </w:tr>
      <w:tr w:rsidR="007634CA" w:rsidRPr="00B3765B" w14:paraId="2A052250" w14:textId="77777777">
        <w:tblPrEx>
          <w:tblCellMar>
            <w:top w:w="0" w:type="dxa"/>
            <w:bottom w:w="0" w:type="dxa"/>
          </w:tblCellMar>
        </w:tblPrEx>
        <w:tc>
          <w:tcPr>
            <w:tcW w:w="4500" w:type="dxa"/>
          </w:tcPr>
          <w:p w14:paraId="71B7274C"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Year range</w:t>
            </w:r>
          </w:p>
        </w:tc>
        <w:tc>
          <w:tcPr>
            <w:tcW w:w="4500" w:type="dxa"/>
          </w:tcPr>
          <w:p w14:paraId="1A6B861F"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2006-2023</w:t>
            </w:r>
          </w:p>
        </w:tc>
      </w:tr>
      <w:tr w:rsidR="007634CA" w:rsidRPr="00B3765B" w14:paraId="3D044FE9" w14:textId="77777777">
        <w:tblPrEx>
          <w:tblCellMar>
            <w:top w:w="0" w:type="dxa"/>
            <w:bottom w:w="0" w:type="dxa"/>
          </w:tblCellMar>
        </w:tblPrEx>
        <w:tc>
          <w:tcPr>
            <w:tcW w:w="4500" w:type="dxa"/>
          </w:tcPr>
          <w:p w14:paraId="220222BE"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Positive threshold</w:t>
            </w:r>
          </w:p>
        </w:tc>
        <w:tc>
          <w:tcPr>
            <w:tcW w:w="4500" w:type="dxa"/>
          </w:tcPr>
          <w:p w14:paraId="46FB9808"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Permeability &gt;= -6.0</w:t>
            </w:r>
          </w:p>
        </w:tc>
      </w:tr>
      <w:tr w:rsidR="007634CA" w:rsidRPr="00B3765B" w14:paraId="65CF798A" w14:textId="77777777">
        <w:tblPrEx>
          <w:tblCellMar>
            <w:top w:w="0" w:type="dxa"/>
            <w:bottom w:w="0" w:type="dxa"/>
          </w:tblCellMar>
        </w:tblPrEx>
        <w:tc>
          <w:tcPr>
            <w:tcW w:w="4500" w:type="dxa"/>
          </w:tcPr>
          <w:p w14:paraId="697A71C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Positive rate</w:t>
            </w:r>
          </w:p>
        </w:tc>
        <w:tc>
          <w:tcPr>
            <w:tcW w:w="4500" w:type="dxa"/>
          </w:tcPr>
          <w:p w14:paraId="196C2B8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0.686</w:t>
            </w:r>
          </w:p>
        </w:tc>
      </w:tr>
      <w:tr w:rsidR="007634CA" w:rsidRPr="00B3765B" w14:paraId="2767C5EA" w14:textId="77777777">
        <w:tblPrEx>
          <w:tblCellMar>
            <w:top w:w="0" w:type="dxa"/>
            <w:bottom w:w="0" w:type="dxa"/>
          </w:tblCellMar>
        </w:tblPrEx>
        <w:tc>
          <w:tcPr>
            <w:tcW w:w="4500" w:type="dxa"/>
          </w:tcPr>
          <w:p w14:paraId="6376A19C"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Permeability distribution</w:t>
            </w:r>
          </w:p>
        </w:tc>
        <w:tc>
          <w:tcPr>
            <w:tcW w:w="4500" w:type="dxa"/>
          </w:tcPr>
          <w:p w14:paraId="5922CEE3"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-5.878 +/- 1.067; range -10.00 to -4.00</w:t>
            </w:r>
          </w:p>
        </w:tc>
      </w:tr>
      <w:tr w:rsidR="007634CA" w:rsidRPr="00B3765B" w14:paraId="6B6850C5" w14:textId="77777777">
        <w:tblPrEx>
          <w:tblCellMar>
            <w:top w:w="0" w:type="dxa"/>
            <w:bottom w:w="0" w:type="dxa"/>
          </w:tblCellMar>
        </w:tblPrEx>
        <w:tc>
          <w:tcPr>
            <w:tcW w:w="4500" w:type="dxa"/>
          </w:tcPr>
          <w:p w14:paraId="5320679E"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Random split</w:t>
            </w:r>
          </w:p>
        </w:tc>
        <w:tc>
          <w:tcPr>
            <w:tcW w:w="4500" w:type="dxa"/>
          </w:tcPr>
          <w:p w14:paraId="1D33E86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1734 train / 434 test</w:t>
            </w:r>
          </w:p>
        </w:tc>
      </w:tr>
      <w:tr w:rsidR="007634CA" w:rsidRPr="00B3765B" w14:paraId="180B27E7" w14:textId="77777777">
        <w:tblPrEx>
          <w:tblCellMar>
            <w:top w:w="0" w:type="dxa"/>
            <w:bottom w:w="0" w:type="dxa"/>
          </w:tblCellMar>
        </w:tblPrEx>
        <w:tc>
          <w:tcPr>
            <w:tcW w:w="4500" w:type="dxa"/>
          </w:tcPr>
          <w:p w14:paraId="1BEF9818"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Source split</w:t>
            </w:r>
          </w:p>
        </w:tc>
        <w:tc>
          <w:tcPr>
            <w:tcW w:w="4500" w:type="dxa"/>
          </w:tcPr>
          <w:p w14:paraId="51AA9461"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1063 train / 1105 test</w:t>
            </w:r>
          </w:p>
        </w:tc>
      </w:tr>
    </w:tbl>
    <w:p w14:paraId="4611F0E1" w14:textId="77777777" w:rsidR="00C6730C" w:rsidRDefault="00C6730C" w:rsidP="00B3765B">
      <w:pPr>
        <w:jc w:val="both"/>
        <w:rPr>
          <w:rFonts w:ascii="Times New Roman" w:hAnsi="Times New Roman" w:cs="Times New Roman"/>
        </w:rPr>
      </w:pPr>
    </w:p>
    <w:p w14:paraId="7F069A83" w14:textId="2EE9453D"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This first experiment establishes the data regime and evaluation protocol before any model comparison. We report sample counts, source counts, threshold definition, and split sizes because these quantities determine whether a random split is likely to be representative. The goal is not to optimize a model in this section, but to show why source-aware validation is required.</w:t>
      </w:r>
    </w:p>
    <w:p w14:paraId="3B628C60"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dataset is highly source-imbalanced. The largest source contributes nearly half of the length-six subset, and the second largest source contributes another large fraction; together, 2020_Townsend and 2016_Furukawa account for approximately 81% of the length-six dataset. This structure can make random splits optimistic and can also make any single source split sensitive to which source is held out. We therefore interpret source-aware results as a stress test of distribution shift rather than as a definitive estimate for every future assay condition.</w:t>
      </w:r>
    </w:p>
    <w:p w14:paraId="4EB01138" w14:textId="77777777" w:rsidR="007634CA" w:rsidRPr="00C6730C" w:rsidRDefault="00000000" w:rsidP="00B3765B">
      <w:pPr>
        <w:pStyle w:val="2"/>
        <w:jc w:val="both"/>
        <w:rPr>
          <w:rFonts w:ascii="Times New Roman" w:hAnsi="Times New Roman" w:cs="Times New Roman"/>
          <w:sz w:val="28"/>
          <w:szCs w:val="28"/>
        </w:rPr>
      </w:pPr>
      <w:r w:rsidRPr="00C6730C">
        <w:rPr>
          <w:rFonts w:ascii="Times New Roman" w:hAnsi="Times New Roman" w:cs="Times New Roman"/>
          <w:sz w:val="28"/>
          <w:szCs w:val="28"/>
        </w:rPr>
        <w:t>4.2 Prediction Performance and Source Shift</w:t>
      </w:r>
    </w:p>
    <w:p w14:paraId="53918316"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lastRenderedPageBreak/>
        <w:t>The prediction experiment asks whether models that perform well under random splitting remain reliable when entire literature sources are held out. We therefore compare random split, source split, group-CV, and LOSO-style results. The same permeability threshold (-6.0) was used for classification across protocols, while regression metrics were computed on the original permeability values.</w:t>
      </w:r>
    </w:p>
    <w:p w14:paraId="105EB27F"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drawing>
          <wp:inline distT="0" distB="0" distL="0" distR="0" wp14:anchorId="5DB7B629" wp14:editId="2D471AA8">
            <wp:extent cx="5295900" cy="2613660"/>
            <wp:effectExtent l="0" t="0" r="0" b="0"/>
            <wp:docPr id="1" name="ROC and PR curves"/>
            <wp:cNvGraphicFramePr/>
            <a:graphic xmlns:a="http://schemas.openxmlformats.org/drawingml/2006/main">
              <a:graphicData uri="http://schemas.openxmlformats.org/drawingml/2006/picture">
                <pic:pic xmlns:pic="http://schemas.openxmlformats.org/drawingml/2006/picture">
                  <pic:nvPicPr>
                    <pic:cNvPr id="1" name="ROC and PR curves"/>
                    <pic:cNvPicPr/>
                  </pic:nvPicPr>
                  <pic:blipFill>
                    <a:blip r:embed="rId44"/>
                    <a:stretch>
                      <a:fillRect/>
                    </a:stretch>
                  </pic:blipFill>
                  <pic:spPr>
                    <a:xfrm>
                      <a:off x="0" y="0"/>
                      <a:ext cx="5296441" cy="2613927"/>
                    </a:xfrm>
                    <a:prstGeom prst="rect">
                      <a:avLst/>
                    </a:prstGeom>
                  </pic:spPr>
                </pic:pic>
              </a:graphicData>
            </a:graphic>
          </wp:inline>
        </w:drawing>
      </w:r>
    </w:p>
    <w:p w14:paraId="1BF25AE6" w14:textId="77777777" w:rsidR="007634CA" w:rsidRDefault="00000000" w:rsidP="00C6730C">
      <w:pPr>
        <w:spacing w:after="0" w:line="240" w:lineRule="auto"/>
        <w:jc w:val="both"/>
        <w:rPr>
          <w:rFonts w:ascii="Times New Roman" w:hAnsi="Times New Roman" w:cs="Times New Roman"/>
          <w:sz w:val="21"/>
          <w:szCs w:val="21"/>
        </w:rPr>
      </w:pPr>
      <w:r w:rsidRPr="00C6730C">
        <w:rPr>
          <w:rFonts w:ascii="Times New Roman" w:hAnsi="Times New Roman" w:cs="Times New Roman"/>
          <w:b/>
          <w:bCs/>
          <w:sz w:val="21"/>
          <w:szCs w:val="21"/>
        </w:rPr>
        <w:t>Figure 2.</w:t>
      </w:r>
      <w:r w:rsidRPr="00C6730C">
        <w:rPr>
          <w:rFonts w:ascii="Times New Roman" w:hAnsi="Times New Roman" w:cs="Times New Roman"/>
          <w:sz w:val="21"/>
          <w:szCs w:val="21"/>
        </w:rPr>
        <w:t xml:space="preserve"> ROC and precision-recall curves for the hybrid classifier under random and source-aware splits. The curves visualize the discrimination gap that is summarized numerically in Table 2 and Supplementary Table S1.</w:t>
      </w:r>
    </w:p>
    <w:p w14:paraId="0E916D0F" w14:textId="77777777" w:rsidR="00C6730C" w:rsidRPr="00C6730C" w:rsidRDefault="00C6730C" w:rsidP="00C6730C">
      <w:pPr>
        <w:spacing w:after="0" w:line="240" w:lineRule="auto"/>
        <w:jc w:val="both"/>
        <w:rPr>
          <w:rFonts w:ascii="Times New Roman" w:hAnsi="Times New Roman" w:cs="Times New Roman"/>
          <w:sz w:val="21"/>
          <w:szCs w:val="21"/>
        </w:rPr>
      </w:pPr>
    </w:p>
    <w:p w14:paraId="3B95FC34" w14:textId="77777777" w:rsidR="007634CA" w:rsidRPr="00C6730C" w:rsidRDefault="00000000" w:rsidP="00B3765B">
      <w:pPr>
        <w:jc w:val="both"/>
        <w:rPr>
          <w:rFonts w:ascii="Times New Roman" w:hAnsi="Times New Roman" w:cs="Times New Roman"/>
          <w:bCs/>
          <w:sz w:val="21"/>
          <w:szCs w:val="21"/>
        </w:rPr>
      </w:pPr>
      <w:r w:rsidRPr="00C6730C">
        <w:rPr>
          <w:rFonts w:ascii="Times New Roman" w:hAnsi="Times New Roman" w:cs="Times New Roman"/>
          <w:bCs/>
          <w:sz w:val="21"/>
          <w:szCs w:val="21"/>
        </w:rPr>
        <w:t>Table 2. Compact prediction summary.</w:t>
      </w:r>
    </w:p>
    <w:tbl>
      <w:tblPr>
        <w:tblW w:w="5000" w:type="pct"/>
        <w:tblInd w:w="10" w:type="dxa"/>
        <w:tblBorders>
          <w:top w:val="single" w:sz="8" w:space="0" w:color="000000"/>
          <w:left w:val="nil"/>
          <w:bottom w:val="single" w:sz="8" w:space="0" w:color="000000"/>
          <w:right w:val="nil"/>
          <w:insideH w:val="nil"/>
          <w:insideV w:val="nil"/>
        </w:tblBorders>
        <w:tblCellMar>
          <w:left w:w="10" w:type="dxa"/>
          <w:right w:w="10" w:type="dxa"/>
        </w:tblCellMar>
        <w:tblLook w:val="04A0" w:firstRow="1" w:lastRow="0" w:firstColumn="1" w:lastColumn="0" w:noHBand="0" w:noVBand="1"/>
      </w:tblPr>
      <w:tblGrid>
        <w:gridCol w:w="1688"/>
        <w:gridCol w:w="1658"/>
        <w:gridCol w:w="1654"/>
        <w:gridCol w:w="1652"/>
        <w:gridCol w:w="1674"/>
      </w:tblGrid>
      <w:tr w:rsidR="007634CA" w:rsidRPr="00C6730C" w14:paraId="77EF3E26" w14:textId="77777777">
        <w:tblPrEx>
          <w:tblCellMar>
            <w:top w:w="0" w:type="dxa"/>
            <w:bottom w:w="0" w:type="dxa"/>
          </w:tblCellMar>
        </w:tblPrEx>
        <w:tc>
          <w:tcPr>
            <w:tcW w:w="1800" w:type="dxa"/>
            <w:tcBorders>
              <w:bottom w:val="single" w:sz="6" w:space="0" w:color="000000"/>
            </w:tcBorders>
          </w:tcPr>
          <w:p w14:paraId="03F917C8"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Model</w:t>
            </w:r>
          </w:p>
        </w:tc>
        <w:tc>
          <w:tcPr>
            <w:tcW w:w="1800" w:type="dxa"/>
            <w:tcBorders>
              <w:bottom w:val="single" w:sz="6" w:space="0" w:color="000000"/>
            </w:tcBorders>
          </w:tcPr>
          <w:p w14:paraId="061212A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Setting</w:t>
            </w:r>
          </w:p>
        </w:tc>
        <w:tc>
          <w:tcPr>
            <w:tcW w:w="1800" w:type="dxa"/>
            <w:tcBorders>
              <w:bottom w:val="single" w:sz="6" w:space="0" w:color="000000"/>
            </w:tcBorders>
          </w:tcPr>
          <w:p w14:paraId="7E63211B"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RMSE</w:t>
            </w:r>
          </w:p>
        </w:tc>
        <w:tc>
          <w:tcPr>
            <w:tcW w:w="1800" w:type="dxa"/>
            <w:tcBorders>
              <w:bottom w:val="single" w:sz="6" w:space="0" w:color="000000"/>
            </w:tcBorders>
          </w:tcPr>
          <w:p w14:paraId="3BF9F3BB"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R2</w:t>
            </w:r>
          </w:p>
        </w:tc>
        <w:tc>
          <w:tcPr>
            <w:tcW w:w="1800" w:type="dxa"/>
            <w:tcBorders>
              <w:bottom w:val="single" w:sz="6" w:space="0" w:color="000000"/>
            </w:tcBorders>
          </w:tcPr>
          <w:p w14:paraId="7F082E90"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b/>
                <w:sz w:val="21"/>
                <w:szCs w:val="21"/>
              </w:rPr>
              <w:t>AUROC</w:t>
            </w:r>
          </w:p>
        </w:tc>
      </w:tr>
      <w:tr w:rsidR="007634CA" w:rsidRPr="00C6730C" w14:paraId="7860F2C6" w14:textId="77777777">
        <w:tblPrEx>
          <w:tblCellMar>
            <w:top w:w="0" w:type="dxa"/>
            <w:bottom w:w="0" w:type="dxa"/>
          </w:tblCellMar>
        </w:tblPrEx>
        <w:tc>
          <w:tcPr>
            <w:tcW w:w="1800" w:type="dxa"/>
          </w:tcPr>
          <w:p w14:paraId="3030311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Public baseline</w:t>
            </w:r>
          </w:p>
        </w:tc>
        <w:tc>
          <w:tcPr>
            <w:tcW w:w="1800" w:type="dxa"/>
          </w:tcPr>
          <w:p w14:paraId="43D9025F"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random</w:t>
            </w:r>
          </w:p>
        </w:tc>
        <w:tc>
          <w:tcPr>
            <w:tcW w:w="1800" w:type="dxa"/>
          </w:tcPr>
          <w:p w14:paraId="773CD25F"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0.945</w:t>
            </w:r>
          </w:p>
        </w:tc>
        <w:tc>
          <w:tcPr>
            <w:tcW w:w="1800" w:type="dxa"/>
          </w:tcPr>
          <w:p w14:paraId="735F7ADF"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0.277</w:t>
            </w:r>
          </w:p>
        </w:tc>
        <w:tc>
          <w:tcPr>
            <w:tcW w:w="1800" w:type="dxa"/>
          </w:tcPr>
          <w:p w14:paraId="30F9C0A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0.773</w:t>
            </w:r>
          </w:p>
        </w:tc>
      </w:tr>
      <w:tr w:rsidR="007634CA" w:rsidRPr="00C6730C" w14:paraId="2EC35251" w14:textId="77777777">
        <w:tblPrEx>
          <w:tblCellMar>
            <w:top w:w="0" w:type="dxa"/>
            <w:bottom w:w="0" w:type="dxa"/>
          </w:tblCellMar>
        </w:tblPrEx>
        <w:tc>
          <w:tcPr>
            <w:tcW w:w="1800" w:type="dxa"/>
          </w:tcPr>
          <w:p w14:paraId="3A4E9EE6"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Enhanced predictor</w:t>
            </w:r>
          </w:p>
        </w:tc>
        <w:tc>
          <w:tcPr>
            <w:tcW w:w="1800" w:type="dxa"/>
          </w:tcPr>
          <w:p w14:paraId="7532B8E4"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random</w:t>
            </w:r>
          </w:p>
        </w:tc>
        <w:tc>
          <w:tcPr>
            <w:tcW w:w="1800" w:type="dxa"/>
          </w:tcPr>
          <w:p w14:paraId="35EBECC7"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0.877</w:t>
            </w:r>
          </w:p>
        </w:tc>
        <w:tc>
          <w:tcPr>
            <w:tcW w:w="1800" w:type="dxa"/>
          </w:tcPr>
          <w:p w14:paraId="36E76223"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0.376</w:t>
            </w:r>
          </w:p>
        </w:tc>
        <w:tc>
          <w:tcPr>
            <w:tcW w:w="1800" w:type="dxa"/>
          </w:tcPr>
          <w:p w14:paraId="65ACBC5E"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0.839</w:t>
            </w:r>
          </w:p>
        </w:tc>
      </w:tr>
      <w:tr w:rsidR="007634CA" w:rsidRPr="00C6730C" w14:paraId="6A3D01D9" w14:textId="77777777">
        <w:tblPrEx>
          <w:tblCellMar>
            <w:top w:w="0" w:type="dxa"/>
            <w:bottom w:w="0" w:type="dxa"/>
          </w:tblCellMar>
        </w:tblPrEx>
        <w:tc>
          <w:tcPr>
            <w:tcW w:w="1800" w:type="dxa"/>
          </w:tcPr>
          <w:p w14:paraId="1639C40C"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Enhanced predictor</w:t>
            </w:r>
          </w:p>
        </w:tc>
        <w:tc>
          <w:tcPr>
            <w:tcW w:w="1800" w:type="dxa"/>
          </w:tcPr>
          <w:p w14:paraId="4122B2F0"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source</w:t>
            </w:r>
          </w:p>
        </w:tc>
        <w:tc>
          <w:tcPr>
            <w:tcW w:w="1800" w:type="dxa"/>
          </w:tcPr>
          <w:p w14:paraId="6B376BF7"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1.34</w:t>
            </w:r>
          </w:p>
        </w:tc>
        <w:tc>
          <w:tcPr>
            <w:tcW w:w="1800" w:type="dxa"/>
          </w:tcPr>
          <w:p w14:paraId="4835C736"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-0.771</w:t>
            </w:r>
          </w:p>
        </w:tc>
        <w:tc>
          <w:tcPr>
            <w:tcW w:w="1800" w:type="dxa"/>
          </w:tcPr>
          <w:p w14:paraId="52282C6C"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0.663</w:t>
            </w:r>
          </w:p>
        </w:tc>
      </w:tr>
      <w:tr w:rsidR="007634CA" w:rsidRPr="00C6730C" w14:paraId="28911A5A" w14:textId="77777777">
        <w:tblPrEx>
          <w:tblCellMar>
            <w:top w:w="0" w:type="dxa"/>
            <w:bottom w:w="0" w:type="dxa"/>
          </w:tblCellMar>
        </w:tblPrEx>
        <w:tc>
          <w:tcPr>
            <w:tcW w:w="1800" w:type="dxa"/>
          </w:tcPr>
          <w:p w14:paraId="417CE123"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Hybrid predictor</w:t>
            </w:r>
          </w:p>
        </w:tc>
        <w:tc>
          <w:tcPr>
            <w:tcW w:w="1800" w:type="dxa"/>
          </w:tcPr>
          <w:p w14:paraId="6ED5C67E"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random</w:t>
            </w:r>
          </w:p>
        </w:tc>
        <w:tc>
          <w:tcPr>
            <w:tcW w:w="1800" w:type="dxa"/>
          </w:tcPr>
          <w:p w14:paraId="1A2CB441"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0.867 [0.741, 1.001]</w:t>
            </w:r>
          </w:p>
        </w:tc>
        <w:tc>
          <w:tcPr>
            <w:tcW w:w="1800" w:type="dxa"/>
          </w:tcPr>
          <w:p w14:paraId="400BEB6B"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0.389 [0.306, 0.472]</w:t>
            </w:r>
          </w:p>
        </w:tc>
        <w:tc>
          <w:tcPr>
            <w:tcW w:w="1800" w:type="dxa"/>
          </w:tcPr>
          <w:p w14:paraId="24533E7D"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0.845 [0.805, 0.885]</w:t>
            </w:r>
          </w:p>
        </w:tc>
      </w:tr>
      <w:tr w:rsidR="007634CA" w:rsidRPr="00C6730C" w14:paraId="6B69AFA4" w14:textId="77777777">
        <w:tblPrEx>
          <w:tblCellMar>
            <w:top w:w="0" w:type="dxa"/>
            <w:bottom w:w="0" w:type="dxa"/>
          </w:tblCellMar>
        </w:tblPrEx>
        <w:tc>
          <w:tcPr>
            <w:tcW w:w="1800" w:type="dxa"/>
          </w:tcPr>
          <w:p w14:paraId="61ACB97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Hybrid predictor</w:t>
            </w:r>
          </w:p>
        </w:tc>
        <w:tc>
          <w:tcPr>
            <w:tcW w:w="1800" w:type="dxa"/>
          </w:tcPr>
          <w:p w14:paraId="3A543B70"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source</w:t>
            </w:r>
          </w:p>
        </w:tc>
        <w:tc>
          <w:tcPr>
            <w:tcW w:w="1800" w:type="dxa"/>
          </w:tcPr>
          <w:p w14:paraId="4C79016B"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1.011 [0.905, 1.110]</w:t>
            </w:r>
          </w:p>
        </w:tc>
        <w:tc>
          <w:tcPr>
            <w:tcW w:w="1800" w:type="dxa"/>
          </w:tcPr>
          <w:p w14:paraId="59383585"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-0.020 [-0.066, 0.029]</w:t>
            </w:r>
          </w:p>
        </w:tc>
        <w:tc>
          <w:tcPr>
            <w:tcW w:w="1800" w:type="dxa"/>
          </w:tcPr>
          <w:p w14:paraId="5C6A0C60"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0.625 [0.584, 0.666]</w:t>
            </w:r>
          </w:p>
        </w:tc>
      </w:tr>
      <w:tr w:rsidR="007634CA" w:rsidRPr="00C6730C" w14:paraId="1BA5252A" w14:textId="77777777">
        <w:tblPrEx>
          <w:tblCellMar>
            <w:top w:w="0" w:type="dxa"/>
            <w:bottom w:w="0" w:type="dxa"/>
          </w:tblCellMar>
        </w:tblPrEx>
        <w:tc>
          <w:tcPr>
            <w:tcW w:w="1800" w:type="dxa"/>
          </w:tcPr>
          <w:p w14:paraId="50840E94"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Descriptor RF</w:t>
            </w:r>
          </w:p>
        </w:tc>
        <w:tc>
          <w:tcPr>
            <w:tcW w:w="1800" w:type="dxa"/>
          </w:tcPr>
          <w:p w14:paraId="7530221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group CV</w:t>
            </w:r>
          </w:p>
        </w:tc>
        <w:tc>
          <w:tcPr>
            <w:tcW w:w="1800" w:type="dxa"/>
          </w:tcPr>
          <w:p w14:paraId="52990D38"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0.943</w:t>
            </w:r>
          </w:p>
        </w:tc>
        <w:tc>
          <w:tcPr>
            <w:tcW w:w="1800" w:type="dxa"/>
          </w:tcPr>
          <w:p w14:paraId="549D0C2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0.073</w:t>
            </w:r>
          </w:p>
        </w:tc>
        <w:tc>
          <w:tcPr>
            <w:tcW w:w="1800" w:type="dxa"/>
          </w:tcPr>
          <w:p w14:paraId="27E87389"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0.725</w:t>
            </w:r>
          </w:p>
        </w:tc>
      </w:tr>
    </w:tbl>
    <w:p w14:paraId="7872A0B0" w14:textId="77777777" w:rsidR="00C6730C" w:rsidRDefault="00C6730C" w:rsidP="00B3765B">
      <w:pPr>
        <w:jc w:val="both"/>
        <w:rPr>
          <w:rFonts w:ascii="Times New Roman" w:hAnsi="Times New Roman" w:cs="Times New Roman"/>
          <w:sz w:val="20"/>
          <w:szCs w:val="20"/>
        </w:rPr>
      </w:pPr>
    </w:p>
    <w:p w14:paraId="298F804B" w14:textId="74EE63AC"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lastRenderedPageBreak/>
        <w:t>Additional operating-point metrics, feature ablations, descriptor importances, calibration summaries, candidate-composition statistics, generator ablations, 3D polarity-proxy summaries, and novelty-depth tables are provided in Supplementary Tables S1-S9.</w:t>
      </w:r>
    </w:p>
    <w:p w14:paraId="01399464"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ablation results show that descriptor-only models outperform text-only HELM TF-IDF features under source-aware repeated group splits. Adding text features did not consistently improve AUROC over descriptor-only features, suggesting that public physicochemical and composition descriptors carry most of the robust signal in this length-six subset. Feature importance from the LOSO descriptor Random Forest further emphasized lipophilicity, polarity, QED-related features, and 3DPSA proxy terms.</w:t>
      </w:r>
    </w:p>
    <w:p w14:paraId="18FE7D53" w14:textId="77777777" w:rsidR="007634CA" w:rsidRPr="00C6730C"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The hybrid model achieved AUROC=0.846 on the random split, but source-aware AUROC dropped to 0.625. This gap is the key empirical warning of the study. The classifier still produced high recall in the source split, but balanced accuracy and MCC were weak, showing that candidate probabilities should be interpreted as prioritization scores rather than experimental guarantees.</w:t>
      </w:r>
    </w:p>
    <w:p w14:paraId="761A8715" w14:textId="77777777" w:rsidR="007634CA" w:rsidRDefault="00000000" w:rsidP="00C6730C">
      <w:pPr>
        <w:spacing w:after="0" w:line="360" w:lineRule="auto"/>
        <w:jc w:val="both"/>
        <w:rPr>
          <w:rFonts w:ascii="Times New Roman" w:hAnsi="Times New Roman" w:cs="Times New Roman"/>
          <w:sz w:val="24"/>
          <w:szCs w:val="24"/>
        </w:rPr>
      </w:pPr>
      <w:r w:rsidRPr="00C6730C">
        <w:rPr>
          <w:rFonts w:ascii="Times New Roman" w:hAnsi="Times New Roman" w:cs="Times New Roman"/>
          <w:sz w:val="24"/>
          <w:szCs w:val="24"/>
        </w:rPr>
        <w:t>LOSO analysis also showed substantial source heterogeneity. The strict-source AUROC weighted mean was 0.711, with mean 0.736 and standard deviation 0.224. Performance variation was therefore not a minor sampling artifact.</w:t>
      </w:r>
    </w:p>
    <w:p w14:paraId="1ABF0F93" w14:textId="77777777" w:rsidR="00C6730C" w:rsidRPr="00C6730C" w:rsidRDefault="00C6730C" w:rsidP="00C6730C">
      <w:pPr>
        <w:spacing w:after="0" w:line="360" w:lineRule="auto"/>
        <w:jc w:val="both"/>
        <w:rPr>
          <w:rFonts w:ascii="Times New Roman" w:hAnsi="Times New Roman" w:cs="Times New Roman"/>
          <w:sz w:val="24"/>
          <w:szCs w:val="24"/>
        </w:rPr>
      </w:pPr>
    </w:p>
    <w:p w14:paraId="72BD233B"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lastRenderedPageBreak/>
        <w:drawing>
          <wp:inline distT="0" distB="0" distL="0" distR="0" wp14:anchorId="45E8CCBE" wp14:editId="0F0363C7">
            <wp:extent cx="5600000" cy="3300000"/>
            <wp:effectExtent l="0" t="0" r="0" b="0"/>
            <wp:docPr id="2" name="Source heterogeneity"/>
            <wp:cNvGraphicFramePr/>
            <a:graphic xmlns:a="http://schemas.openxmlformats.org/drawingml/2006/main">
              <a:graphicData uri="http://schemas.openxmlformats.org/drawingml/2006/picture">
                <pic:pic xmlns:pic="http://schemas.openxmlformats.org/drawingml/2006/picture">
                  <pic:nvPicPr>
                    <pic:cNvPr id="2" name="Source heterogeneity"/>
                    <pic:cNvPicPr/>
                  </pic:nvPicPr>
                  <pic:blipFill>
                    <a:blip r:embed="rId45"/>
                    <a:stretch>
                      <a:fillRect/>
                    </a:stretch>
                  </pic:blipFill>
                  <pic:spPr>
                    <a:xfrm>
                      <a:off x="0" y="0"/>
                      <a:ext cx="5600000" cy="3300000"/>
                    </a:xfrm>
                    <a:prstGeom prst="rect">
                      <a:avLst/>
                    </a:prstGeom>
                  </pic:spPr>
                </pic:pic>
              </a:graphicData>
            </a:graphic>
          </wp:inline>
        </w:drawing>
      </w:r>
    </w:p>
    <w:p w14:paraId="5CFD748F" w14:textId="77777777" w:rsidR="007634CA"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Figure 3. Leave-one-source-out source heterogeneity. The wide range of source-level AUROC values indicates that held-out-source performance depends strongly on experimental source.</w:t>
      </w:r>
    </w:p>
    <w:p w14:paraId="195E93A4" w14:textId="77777777" w:rsidR="00C6730C" w:rsidRPr="00C6730C" w:rsidRDefault="00C6730C" w:rsidP="00B3765B">
      <w:pPr>
        <w:jc w:val="both"/>
        <w:rPr>
          <w:rFonts w:ascii="Times New Roman" w:hAnsi="Times New Roman" w:cs="Times New Roman"/>
          <w:sz w:val="21"/>
          <w:szCs w:val="21"/>
        </w:rPr>
      </w:pPr>
    </w:p>
    <w:p w14:paraId="026D81F9" w14:textId="77777777" w:rsidR="007634CA" w:rsidRPr="00C6730C" w:rsidRDefault="00000000" w:rsidP="00B3765B">
      <w:pPr>
        <w:pStyle w:val="2"/>
        <w:jc w:val="both"/>
        <w:rPr>
          <w:rFonts w:ascii="Times New Roman" w:hAnsi="Times New Roman" w:cs="Times New Roman"/>
          <w:sz w:val="28"/>
          <w:szCs w:val="28"/>
        </w:rPr>
      </w:pPr>
      <w:r w:rsidRPr="00C6730C">
        <w:rPr>
          <w:rFonts w:ascii="Times New Roman" w:hAnsi="Times New Roman" w:cs="Times New Roman"/>
          <w:sz w:val="28"/>
          <w:szCs w:val="28"/>
        </w:rPr>
        <w:t>4.3 Calibration and Reliability Checks</w:t>
      </w:r>
    </w:p>
    <w:p w14:paraId="3E1FCFC6" w14:textId="77777777" w:rsidR="007634CA" w:rsidRPr="00851C66" w:rsidRDefault="00000000" w:rsidP="00C6730C">
      <w:pPr>
        <w:spacing w:after="0" w:line="360" w:lineRule="auto"/>
        <w:jc w:val="both"/>
        <w:rPr>
          <w:rFonts w:ascii="Times New Roman" w:hAnsi="Times New Roman" w:cs="Times New Roman"/>
          <w:sz w:val="24"/>
          <w:szCs w:val="24"/>
        </w:rPr>
      </w:pPr>
      <w:r w:rsidRPr="00851C66">
        <w:rPr>
          <w:rFonts w:ascii="Times New Roman" w:hAnsi="Times New Roman" w:cs="Times New Roman"/>
          <w:sz w:val="24"/>
          <w:szCs w:val="24"/>
        </w:rPr>
        <w:t>Because the design stages use model scores to prioritize candidates, the next experiment examines whether predicted probabilities are reasonably calibrated. This analysis is not intended to prove experimental success; it quantifies whether probability-like outputs are safe to use as ranking signals and whether additional uncertainty penalties are necessary.</w:t>
      </w:r>
    </w:p>
    <w:p w14:paraId="6572C01D" w14:textId="77777777" w:rsidR="007634CA" w:rsidRPr="00851C66" w:rsidRDefault="00000000" w:rsidP="00C6730C">
      <w:pPr>
        <w:spacing w:after="0" w:line="360" w:lineRule="auto"/>
        <w:jc w:val="both"/>
        <w:rPr>
          <w:rFonts w:ascii="Times New Roman" w:hAnsi="Times New Roman" w:cs="Times New Roman"/>
          <w:sz w:val="24"/>
          <w:szCs w:val="24"/>
        </w:rPr>
      </w:pPr>
      <w:r w:rsidRPr="00851C66">
        <w:rPr>
          <w:rFonts w:ascii="Times New Roman" w:hAnsi="Times New Roman" w:cs="Times New Roman"/>
          <w:sz w:val="24"/>
          <w:szCs w:val="24"/>
        </w:rPr>
        <w:t>The calibration analysis was added because generated candidates are selected by a learned scorer. The Brier and ECE values suggest that probabilities are usable for ranking and filtering, but they should not be read as calibrated experimental success probabilities. For this reason, the design pipeline combines predicted permeability with uncertainty penalties, diversity constraints, and novelty analysis.</w:t>
      </w:r>
    </w:p>
    <w:p w14:paraId="7E40F990" w14:textId="77777777" w:rsidR="007634CA" w:rsidRPr="00C6730C" w:rsidRDefault="00000000" w:rsidP="00B3765B">
      <w:pPr>
        <w:pStyle w:val="2"/>
        <w:jc w:val="both"/>
        <w:rPr>
          <w:rFonts w:ascii="Times New Roman" w:hAnsi="Times New Roman" w:cs="Times New Roman"/>
          <w:sz w:val="28"/>
          <w:szCs w:val="28"/>
        </w:rPr>
      </w:pPr>
      <w:r w:rsidRPr="00C6730C">
        <w:rPr>
          <w:rFonts w:ascii="Times New Roman" w:hAnsi="Times New Roman" w:cs="Times New Roman"/>
          <w:sz w:val="28"/>
          <w:szCs w:val="28"/>
        </w:rPr>
        <w:t>4.4 Dual-Route Design Results</w:t>
      </w:r>
    </w:p>
    <w:p w14:paraId="1DB31222"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lastRenderedPageBreak/>
        <w:drawing>
          <wp:inline distT="0" distB="0" distL="0" distR="0" wp14:anchorId="1017791A" wp14:editId="6F8D8993">
            <wp:extent cx="5600000" cy="3300000"/>
            <wp:effectExtent l="0" t="0" r="0" b="0"/>
            <wp:docPr id="3" name="Design route overview"/>
            <wp:cNvGraphicFramePr/>
            <a:graphic xmlns:a="http://schemas.openxmlformats.org/drawingml/2006/main">
              <a:graphicData uri="http://schemas.openxmlformats.org/drawingml/2006/picture">
                <pic:pic xmlns:pic="http://schemas.openxmlformats.org/drawingml/2006/picture">
                  <pic:nvPicPr>
                    <pic:cNvPr id="3" name="Design route overview"/>
                    <pic:cNvPicPr/>
                  </pic:nvPicPr>
                  <pic:blipFill>
                    <a:blip r:embed="rId46"/>
                    <a:stretch>
                      <a:fillRect/>
                    </a:stretch>
                  </pic:blipFill>
                  <pic:spPr>
                    <a:xfrm>
                      <a:off x="0" y="0"/>
                      <a:ext cx="5600000" cy="3300000"/>
                    </a:xfrm>
                    <a:prstGeom prst="rect">
                      <a:avLst/>
                    </a:prstGeom>
                  </pic:spPr>
                </pic:pic>
              </a:graphicData>
            </a:graphic>
          </wp:inline>
        </w:drawing>
      </w:r>
    </w:p>
    <w:p w14:paraId="79CB6FE6" w14:textId="77777777" w:rsidR="007634CA" w:rsidRPr="00C6730C" w:rsidRDefault="00000000" w:rsidP="00B3765B">
      <w:pPr>
        <w:jc w:val="both"/>
        <w:rPr>
          <w:rFonts w:ascii="Times New Roman" w:hAnsi="Times New Roman" w:cs="Times New Roman"/>
          <w:sz w:val="21"/>
          <w:szCs w:val="21"/>
        </w:rPr>
      </w:pPr>
      <w:r w:rsidRPr="00C6730C">
        <w:rPr>
          <w:rFonts w:ascii="Times New Roman" w:hAnsi="Times New Roman" w:cs="Times New Roman"/>
          <w:sz w:val="21"/>
          <w:szCs w:val="21"/>
        </w:rPr>
        <w:t>Figure 4. Generated candidate profiles for the optimization and de novo routes.</w:t>
      </w:r>
    </w:p>
    <w:p w14:paraId="0C90CAAF"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Both design routes produced exact-HELM non-duplicates relative to the training set. The optimized shortlist contains 12 candidates and reflects local scaffold exploitation, whereas the de novo shortlist contains 24 candidates and maintains broader exploration. These numbers are intentionally small because the paper reports a priority shortlist rather than all generated molecules: the optimization route generated 222,464 candidates, retained 233 filtered candidates and 26 diverse high-confidence candidates before selecting 12 composition-unique representatives; the de novo route sampled 24,000 initial sequences, produced 23,577 stage-1 candidates, 16,124 refinement candidates, and 120 final candidates before selecting 24 composition-unique representatives. The optimized route achieved a higher mean predicted permeability, while the de novo route retained higher pairwise diversity.</w:t>
      </w:r>
    </w:p>
    <w:p w14:paraId="29BC666E"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lastRenderedPageBreak/>
        <w:drawing>
          <wp:inline distT="0" distB="0" distL="0" distR="0" wp14:anchorId="23E3AFE9" wp14:editId="36CEEA74">
            <wp:extent cx="5227320" cy="3131820"/>
            <wp:effectExtent l="0" t="0" r="0" b="0"/>
            <wp:docPr id="4" name="Quality diversity"/>
            <wp:cNvGraphicFramePr/>
            <a:graphic xmlns:a="http://schemas.openxmlformats.org/drawingml/2006/main">
              <a:graphicData uri="http://schemas.openxmlformats.org/drawingml/2006/picture">
                <pic:pic xmlns:pic="http://schemas.openxmlformats.org/drawingml/2006/picture">
                  <pic:nvPicPr>
                    <pic:cNvPr id="4" name="Quality diversity"/>
                    <pic:cNvPicPr/>
                  </pic:nvPicPr>
                  <pic:blipFill>
                    <a:blip r:embed="rId47"/>
                    <a:stretch>
                      <a:fillRect/>
                    </a:stretch>
                  </pic:blipFill>
                  <pic:spPr>
                    <a:xfrm>
                      <a:off x="0" y="0"/>
                      <a:ext cx="5228178" cy="3132334"/>
                    </a:xfrm>
                    <a:prstGeom prst="rect">
                      <a:avLst/>
                    </a:prstGeom>
                  </pic:spPr>
                </pic:pic>
              </a:graphicData>
            </a:graphic>
          </wp:inline>
        </w:drawing>
      </w:r>
    </w:p>
    <w:p w14:paraId="3BB24F0C" w14:textId="77777777" w:rsidR="007634CA" w:rsidRDefault="00000000" w:rsidP="004F451E">
      <w:pPr>
        <w:spacing w:after="0" w:line="240" w:lineRule="auto"/>
        <w:jc w:val="both"/>
        <w:rPr>
          <w:rFonts w:ascii="Times New Roman" w:hAnsi="Times New Roman" w:cs="Times New Roman"/>
          <w:sz w:val="21"/>
          <w:szCs w:val="21"/>
        </w:rPr>
      </w:pPr>
      <w:r w:rsidRPr="004F451E">
        <w:rPr>
          <w:rFonts w:ascii="Times New Roman" w:hAnsi="Times New Roman" w:cs="Times New Roman"/>
          <w:sz w:val="21"/>
          <w:szCs w:val="21"/>
        </w:rPr>
        <w:t>Figure 5. Quality-diversity tradeoff. The optimization route emphasizes high-confidence local improvement, while the de novo route covers a broader candidate region.</w:t>
      </w:r>
    </w:p>
    <w:p w14:paraId="2E11738A" w14:textId="77777777" w:rsidR="004F451E" w:rsidRPr="004F451E" w:rsidRDefault="004F451E" w:rsidP="004F451E">
      <w:pPr>
        <w:spacing w:after="0" w:line="240" w:lineRule="auto"/>
        <w:jc w:val="both"/>
        <w:rPr>
          <w:rFonts w:ascii="Times New Roman" w:hAnsi="Times New Roman" w:cs="Times New Roman"/>
          <w:sz w:val="21"/>
          <w:szCs w:val="21"/>
        </w:rPr>
      </w:pPr>
    </w:p>
    <w:p w14:paraId="428F44F8" w14:textId="77777777" w:rsidR="007634CA" w:rsidRPr="004F451E" w:rsidRDefault="00000000" w:rsidP="00B3765B">
      <w:pPr>
        <w:pStyle w:val="2"/>
        <w:jc w:val="both"/>
        <w:rPr>
          <w:rFonts w:ascii="Times New Roman" w:hAnsi="Times New Roman" w:cs="Times New Roman"/>
          <w:sz w:val="28"/>
          <w:szCs w:val="28"/>
        </w:rPr>
      </w:pPr>
      <w:r w:rsidRPr="004F451E">
        <w:rPr>
          <w:rFonts w:ascii="Times New Roman" w:hAnsi="Times New Roman" w:cs="Times New Roman"/>
          <w:sz w:val="28"/>
          <w:szCs w:val="28"/>
        </w:rPr>
        <w:t>4.5 Generator Ablation</w:t>
      </w:r>
    </w:p>
    <w:p w14:paraId="0D55AE1F"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The ablation experiment tests whether the de novo generator is simply selecting the highest predicted score or whether the multi-objective terms change the chemical profile of the shortlist. Each ablated variant removes one design pressure while keeping the same candidate-count target and downstream filtering protocol.</w:t>
      </w:r>
    </w:p>
    <w:p w14:paraId="2B058E70"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For the full-vs-ablation comparisons, route-level bootstrap/permutation analysis showed that adding composition constraints significantly improved composition alignment relative to </w:t>
      </w:r>
      <w:proofErr w:type="spellStart"/>
      <w:r w:rsidRPr="004F451E">
        <w:rPr>
          <w:rFonts w:ascii="Times New Roman" w:hAnsi="Times New Roman" w:cs="Times New Roman"/>
          <w:sz w:val="24"/>
          <w:szCs w:val="24"/>
        </w:rPr>
        <w:t>no_composition</w:t>
      </w:r>
      <w:proofErr w:type="spellEnd"/>
      <w:r w:rsidRPr="004F451E">
        <w:rPr>
          <w:rFonts w:ascii="Times New Roman" w:hAnsi="Times New Roman" w:cs="Times New Roman"/>
          <w:sz w:val="24"/>
          <w:szCs w:val="24"/>
        </w:rPr>
        <w:t xml:space="preserve"> (mean difference 0.175, 95% CI [0.077, 0.276], p=0.0010), while the full model improved composition alignment relative to </w:t>
      </w:r>
      <w:proofErr w:type="spellStart"/>
      <w:r w:rsidRPr="004F451E">
        <w:rPr>
          <w:rFonts w:ascii="Times New Roman" w:hAnsi="Times New Roman" w:cs="Times New Roman"/>
          <w:sz w:val="24"/>
          <w:szCs w:val="24"/>
        </w:rPr>
        <w:t>quality_only</w:t>
      </w:r>
      <w:proofErr w:type="spellEnd"/>
      <w:r w:rsidRPr="004F451E">
        <w:rPr>
          <w:rFonts w:ascii="Times New Roman" w:hAnsi="Times New Roman" w:cs="Times New Roman"/>
          <w:sz w:val="24"/>
          <w:szCs w:val="24"/>
        </w:rPr>
        <w:t xml:space="preserve"> (mean difference 0.212, 95% CI [0.124, 0.304], p=0.0002). These intervals support the conclusion that the added terms change the shortlist profile rather than only re-ranking candidates by a single quality score.</w:t>
      </w:r>
    </w:p>
    <w:p w14:paraId="0F363ADA"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The quality-only variant achieved higher raw quality but reduced composition alignment and uncertainty stability. The full generator did not maximize a single </w:t>
      </w:r>
      <w:r w:rsidRPr="004F451E">
        <w:rPr>
          <w:rFonts w:ascii="Times New Roman" w:hAnsi="Times New Roman" w:cs="Times New Roman"/>
          <w:sz w:val="24"/>
          <w:szCs w:val="24"/>
        </w:rPr>
        <w:lastRenderedPageBreak/>
        <w:t>metric; instead, it balanced quality, motif prior, composition, stability, and novelty. This supports the interpretation that the de novo route is not merely a score maximizer.</w:t>
      </w:r>
    </w:p>
    <w:p w14:paraId="2CDEA7EF" w14:textId="77777777" w:rsidR="004F451E" w:rsidRPr="004F451E" w:rsidRDefault="004F451E" w:rsidP="004F451E">
      <w:pPr>
        <w:spacing w:after="0" w:line="360" w:lineRule="auto"/>
        <w:jc w:val="both"/>
        <w:rPr>
          <w:rFonts w:ascii="Times New Roman" w:hAnsi="Times New Roman" w:cs="Times New Roman"/>
          <w:sz w:val="24"/>
          <w:szCs w:val="24"/>
        </w:rPr>
      </w:pPr>
    </w:p>
    <w:p w14:paraId="2E7C80B5"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drawing>
          <wp:inline distT="0" distB="0" distL="0" distR="0" wp14:anchorId="650B3572" wp14:editId="67012523">
            <wp:extent cx="5250180" cy="3246120"/>
            <wp:effectExtent l="0" t="0" r="0" b="0"/>
            <wp:docPr id="5" name="Generator ablation"/>
            <wp:cNvGraphicFramePr/>
            <a:graphic xmlns:a="http://schemas.openxmlformats.org/drawingml/2006/main">
              <a:graphicData uri="http://schemas.openxmlformats.org/drawingml/2006/picture">
                <pic:pic xmlns:pic="http://schemas.openxmlformats.org/drawingml/2006/picture">
                  <pic:nvPicPr>
                    <pic:cNvPr id="5" name="Generator ablation"/>
                    <pic:cNvPicPr/>
                  </pic:nvPicPr>
                  <pic:blipFill>
                    <a:blip r:embed="rId48"/>
                    <a:stretch>
                      <a:fillRect/>
                    </a:stretch>
                  </pic:blipFill>
                  <pic:spPr>
                    <a:xfrm>
                      <a:off x="0" y="0"/>
                      <a:ext cx="5251041" cy="3246652"/>
                    </a:xfrm>
                    <a:prstGeom prst="rect">
                      <a:avLst/>
                    </a:prstGeom>
                  </pic:spPr>
                </pic:pic>
              </a:graphicData>
            </a:graphic>
          </wp:inline>
        </w:drawing>
      </w:r>
    </w:p>
    <w:p w14:paraId="79626C7A" w14:textId="77777777" w:rsidR="007634CA" w:rsidRPr="004F451E" w:rsidRDefault="00000000" w:rsidP="00B3765B">
      <w:pPr>
        <w:jc w:val="both"/>
        <w:rPr>
          <w:rFonts w:ascii="Times New Roman" w:hAnsi="Times New Roman" w:cs="Times New Roman"/>
          <w:sz w:val="21"/>
          <w:szCs w:val="21"/>
        </w:rPr>
      </w:pPr>
      <w:r w:rsidRPr="004F451E">
        <w:rPr>
          <w:rFonts w:ascii="Times New Roman" w:hAnsi="Times New Roman" w:cs="Times New Roman"/>
          <w:sz w:val="21"/>
          <w:szCs w:val="21"/>
        </w:rPr>
        <w:t>Figure 6. Generator ablation across quality, diversity, motif, composition, and stability terms.</w:t>
      </w:r>
    </w:p>
    <w:p w14:paraId="4FE88486" w14:textId="77777777" w:rsidR="007634CA" w:rsidRPr="004F451E" w:rsidRDefault="00000000" w:rsidP="00B3765B">
      <w:pPr>
        <w:pStyle w:val="2"/>
        <w:jc w:val="both"/>
        <w:rPr>
          <w:rFonts w:ascii="Times New Roman" w:hAnsi="Times New Roman" w:cs="Times New Roman"/>
          <w:sz w:val="28"/>
          <w:szCs w:val="28"/>
        </w:rPr>
      </w:pPr>
      <w:r w:rsidRPr="004F451E">
        <w:rPr>
          <w:rFonts w:ascii="Times New Roman" w:hAnsi="Times New Roman" w:cs="Times New Roman"/>
          <w:sz w:val="28"/>
          <w:szCs w:val="28"/>
        </w:rPr>
        <w:t>4.6 Mechanistic Proxies and Novelty Depth</w:t>
      </w:r>
    </w:p>
    <w:p w14:paraId="2630DA6E"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The final validation experiment asks whether generated peptides are chemically plausible and whether exact novelty hides near-duplicate behavior. We therefore combine token- and descriptor-space novelty depth with a lightweight 3D polarity-proxy sanity check. The EPSA literature supports exposed polarity as a useful permeability surrogate for cyclic peptides, especially when comparing broad polarity regimes or discrete design-cycle trends, but the proxy values here should not be treated as experimental permeability measurements.</w:t>
      </w:r>
    </w:p>
    <w:p w14:paraId="3B3867F5"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Descriptor-shift and 3D polarity-proxy analyses showed that both generated groups remained near the physicochemical neighborhood of high-permeability reference peptides. This analysis is reported as a sanity check that the shortlist does not move </w:t>
      </w:r>
      <w:r w:rsidRPr="004F451E">
        <w:rPr>
          <w:rFonts w:ascii="Times New Roman" w:hAnsi="Times New Roman" w:cs="Times New Roman"/>
          <w:sz w:val="24"/>
          <w:szCs w:val="24"/>
        </w:rPr>
        <w:lastRenderedPageBreak/>
        <w:t xml:space="preserve">into an obviously unfavorable polarity region; the main novelty and route-difference evidence </w:t>
      </w:r>
      <w:proofErr w:type="gramStart"/>
      <w:r w:rsidRPr="004F451E">
        <w:rPr>
          <w:rFonts w:ascii="Times New Roman" w:hAnsi="Times New Roman" w:cs="Times New Roman"/>
          <w:sz w:val="24"/>
          <w:szCs w:val="24"/>
        </w:rPr>
        <w:t>comes</w:t>
      </w:r>
      <w:proofErr w:type="gramEnd"/>
      <w:r w:rsidRPr="004F451E">
        <w:rPr>
          <w:rFonts w:ascii="Times New Roman" w:hAnsi="Times New Roman" w:cs="Times New Roman"/>
          <w:sz w:val="24"/>
          <w:szCs w:val="24"/>
        </w:rPr>
        <w:t xml:space="preserve"> from the token/descriptor nearest-neighbor analysis below.</w:t>
      </w:r>
    </w:p>
    <w:p w14:paraId="7DF8EC1B"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The optimized and de novo candidates have similar nearest-neighbor CHCl3_3DPSA, H2O_3DPSA, and EPSA values. We therefore use Supplementary Table S8 only to rule out gross polarity drift, not to rank the two design routes mechanistically.</w:t>
      </w:r>
    </w:p>
    <w:p w14:paraId="5186BA4C"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Exact HELM novelty was 1.0 for both shortlists. However, deep novelty analysis clarified the difference between the routes: optimized candidates had high nearest-neighbor token similarity, consistent with local refinement, whereas de novo candidates showed lower token similarity and larger descriptor distances. Cases with maximum token Jaccard or minimum descriptor distance equal to one or zero should therefore be interpreted as near-neighbor novelty rather than complete chemical dissimilarity.</w:t>
      </w:r>
    </w:p>
    <w:p w14:paraId="1B837A6A" w14:textId="77777777" w:rsidR="004F451E" w:rsidRPr="004F451E" w:rsidRDefault="004F451E" w:rsidP="004F451E">
      <w:pPr>
        <w:spacing w:after="0" w:line="360" w:lineRule="auto"/>
        <w:jc w:val="both"/>
        <w:rPr>
          <w:rFonts w:ascii="Times New Roman" w:hAnsi="Times New Roman" w:cs="Times New Roman"/>
          <w:sz w:val="24"/>
          <w:szCs w:val="24"/>
        </w:rPr>
      </w:pPr>
    </w:p>
    <w:p w14:paraId="38A5E46E"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drawing>
          <wp:inline distT="0" distB="0" distL="0" distR="0" wp14:anchorId="12E43FA9" wp14:editId="596AEF44">
            <wp:extent cx="5600000" cy="3000000"/>
            <wp:effectExtent l="0" t="0" r="0" b="0"/>
            <wp:docPr id="6" name="Novelty depth"/>
            <wp:cNvGraphicFramePr/>
            <a:graphic xmlns:a="http://schemas.openxmlformats.org/drawingml/2006/main">
              <a:graphicData uri="http://schemas.openxmlformats.org/drawingml/2006/picture">
                <pic:pic xmlns:pic="http://schemas.openxmlformats.org/drawingml/2006/picture">
                  <pic:nvPicPr>
                    <pic:cNvPr id="6" name="Novelty depth"/>
                    <pic:cNvPicPr/>
                  </pic:nvPicPr>
                  <pic:blipFill>
                    <a:blip r:embed="rId49"/>
                    <a:stretch>
                      <a:fillRect/>
                    </a:stretch>
                  </pic:blipFill>
                  <pic:spPr>
                    <a:xfrm>
                      <a:off x="0" y="0"/>
                      <a:ext cx="5600000" cy="3000000"/>
                    </a:xfrm>
                    <a:prstGeom prst="rect">
                      <a:avLst/>
                    </a:prstGeom>
                  </pic:spPr>
                </pic:pic>
              </a:graphicData>
            </a:graphic>
          </wp:inline>
        </w:drawing>
      </w:r>
    </w:p>
    <w:p w14:paraId="03B32987" w14:textId="0B4CCDC1" w:rsidR="004F451E" w:rsidRPr="004F451E" w:rsidRDefault="00000000" w:rsidP="004F451E">
      <w:pPr>
        <w:spacing w:line="240" w:lineRule="auto"/>
        <w:jc w:val="both"/>
        <w:rPr>
          <w:rFonts w:ascii="Times New Roman" w:hAnsi="Times New Roman" w:cs="Times New Roman" w:hint="eastAsia"/>
          <w:sz w:val="21"/>
          <w:szCs w:val="21"/>
        </w:rPr>
      </w:pPr>
      <w:r w:rsidRPr="004F451E">
        <w:rPr>
          <w:rFonts w:ascii="Times New Roman" w:hAnsi="Times New Roman" w:cs="Times New Roman"/>
          <w:sz w:val="21"/>
          <w:szCs w:val="21"/>
        </w:rPr>
        <w:t>Figure 7. Nearest-neighbor novelty depth against the training set.</w:t>
      </w:r>
    </w:p>
    <w:p w14:paraId="5CFD268D" w14:textId="77777777" w:rsidR="007634CA" w:rsidRPr="004F451E" w:rsidRDefault="00000000" w:rsidP="00B3765B">
      <w:pPr>
        <w:pStyle w:val="2"/>
        <w:jc w:val="both"/>
        <w:rPr>
          <w:rFonts w:ascii="Times New Roman" w:hAnsi="Times New Roman" w:cs="Times New Roman"/>
          <w:sz w:val="28"/>
          <w:szCs w:val="28"/>
        </w:rPr>
      </w:pPr>
      <w:r w:rsidRPr="004F451E">
        <w:rPr>
          <w:rFonts w:ascii="Times New Roman" w:hAnsi="Times New Roman" w:cs="Times New Roman"/>
          <w:sz w:val="28"/>
          <w:szCs w:val="28"/>
        </w:rPr>
        <w:t>4.7 Representative Case Analysis</w:t>
      </w:r>
    </w:p>
    <w:p w14:paraId="76BCD99E"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A representative optimized candidate can be summarized as </w:t>
      </w:r>
      <w:proofErr w:type="spellStart"/>
      <w:proofErr w:type="gramStart"/>
      <w:r w:rsidRPr="004F451E">
        <w:rPr>
          <w:rFonts w:ascii="Times New Roman" w:hAnsi="Times New Roman" w:cs="Times New Roman"/>
          <w:sz w:val="24"/>
          <w:szCs w:val="24"/>
        </w:rPr>
        <w:t>cyclo</w:t>
      </w:r>
      <w:proofErr w:type="spellEnd"/>
      <w:r w:rsidRPr="004F451E">
        <w:rPr>
          <w:rFonts w:ascii="Times New Roman" w:hAnsi="Times New Roman" w:cs="Times New Roman"/>
          <w:sz w:val="24"/>
          <w:szCs w:val="24"/>
        </w:rPr>
        <w:t>(</w:t>
      </w:r>
      <w:proofErr w:type="spellStart"/>
      <w:proofErr w:type="gramEnd"/>
      <w:r w:rsidRPr="004F451E">
        <w:rPr>
          <w:rFonts w:ascii="Times New Roman" w:hAnsi="Times New Roman" w:cs="Times New Roman"/>
          <w:sz w:val="24"/>
          <w:szCs w:val="24"/>
        </w:rPr>
        <w:t>Me_dV</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meL</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meL</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meA</w:t>
      </w:r>
      <w:proofErr w:type="spellEnd"/>
      <w:r w:rsidRPr="004F451E">
        <w:rPr>
          <w:rFonts w:ascii="Times New Roman" w:hAnsi="Times New Roman" w:cs="Times New Roman"/>
          <w:sz w:val="24"/>
          <w:szCs w:val="24"/>
        </w:rPr>
        <w:t xml:space="preserve">-F-P), derived from </w:t>
      </w:r>
      <w:proofErr w:type="spellStart"/>
      <w:proofErr w:type="gramStart"/>
      <w:r w:rsidRPr="004F451E">
        <w:rPr>
          <w:rFonts w:ascii="Times New Roman" w:hAnsi="Times New Roman" w:cs="Times New Roman"/>
          <w:sz w:val="24"/>
          <w:szCs w:val="24"/>
        </w:rPr>
        <w:t>cyclo</w:t>
      </w:r>
      <w:proofErr w:type="spellEnd"/>
      <w:r w:rsidRPr="004F451E">
        <w:rPr>
          <w:rFonts w:ascii="Times New Roman" w:hAnsi="Times New Roman" w:cs="Times New Roman"/>
          <w:sz w:val="24"/>
          <w:szCs w:val="24"/>
        </w:rPr>
        <w:t>(</w:t>
      </w:r>
      <w:proofErr w:type="spellStart"/>
      <w:proofErr w:type="gramEnd"/>
      <w:r w:rsidRPr="004F451E">
        <w:rPr>
          <w:rFonts w:ascii="Times New Roman" w:hAnsi="Times New Roman" w:cs="Times New Roman"/>
          <w:sz w:val="24"/>
          <w:szCs w:val="24"/>
        </w:rPr>
        <w:t>Me_dV</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dF</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meL</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dP</w:t>
      </w:r>
      <w:proofErr w:type="spellEnd"/>
      <w:r w:rsidRPr="004F451E">
        <w:rPr>
          <w:rFonts w:ascii="Times New Roman" w:hAnsi="Times New Roman" w:cs="Times New Roman"/>
          <w:sz w:val="24"/>
          <w:szCs w:val="24"/>
        </w:rPr>
        <w:t xml:space="preserve">-F-P). The key substitutions </w:t>
      </w:r>
      <w:proofErr w:type="spellStart"/>
      <w:r w:rsidRPr="004F451E">
        <w:rPr>
          <w:rFonts w:ascii="Times New Roman" w:hAnsi="Times New Roman" w:cs="Times New Roman"/>
          <w:sz w:val="24"/>
          <w:szCs w:val="24"/>
        </w:rPr>
        <w:t>dF</w:t>
      </w:r>
      <w:proofErr w:type="spellEnd"/>
      <w:r w:rsidRPr="004F451E">
        <w:rPr>
          <w:rFonts w:ascii="Times New Roman" w:hAnsi="Times New Roman" w:cs="Times New Roman"/>
          <w:sz w:val="24"/>
          <w:szCs w:val="24"/>
        </w:rPr>
        <w:t xml:space="preserve"> to </w:t>
      </w:r>
      <w:proofErr w:type="spellStart"/>
      <w:r w:rsidRPr="004F451E">
        <w:rPr>
          <w:rFonts w:ascii="Times New Roman" w:hAnsi="Times New Roman" w:cs="Times New Roman"/>
          <w:sz w:val="24"/>
          <w:szCs w:val="24"/>
        </w:rPr>
        <w:lastRenderedPageBreak/>
        <w:t>meL</w:t>
      </w:r>
      <w:proofErr w:type="spellEnd"/>
      <w:r w:rsidRPr="004F451E">
        <w:rPr>
          <w:rFonts w:ascii="Times New Roman" w:hAnsi="Times New Roman" w:cs="Times New Roman"/>
          <w:sz w:val="24"/>
          <w:szCs w:val="24"/>
        </w:rPr>
        <w:t xml:space="preserve"> and </w:t>
      </w:r>
      <w:proofErr w:type="spellStart"/>
      <w:r w:rsidRPr="004F451E">
        <w:rPr>
          <w:rFonts w:ascii="Times New Roman" w:hAnsi="Times New Roman" w:cs="Times New Roman"/>
          <w:sz w:val="24"/>
          <w:szCs w:val="24"/>
        </w:rPr>
        <w:t>dP</w:t>
      </w:r>
      <w:proofErr w:type="spellEnd"/>
      <w:r w:rsidRPr="004F451E">
        <w:rPr>
          <w:rFonts w:ascii="Times New Roman" w:hAnsi="Times New Roman" w:cs="Times New Roman"/>
          <w:sz w:val="24"/>
          <w:szCs w:val="24"/>
        </w:rPr>
        <w:t xml:space="preserve"> to </w:t>
      </w:r>
      <w:proofErr w:type="spellStart"/>
      <w:r w:rsidRPr="004F451E">
        <w:rPr>
          <w:rFonts w:ascii="Times New Roman" w:hAnsi="Times New Roman" w:cs="Times New Roman"/>
          <w:sz w:val="24"/>
          <w:szCs w:val="24"/>
        </w:rPr>
        <w:t>meA</w:t>
      </w:r>
      <w:proofErr w:type="spellEnd"/>
      <w:r w:rsidRPr="004F451E">
        <w:rPr>
          <w:rFonts w:ascii="Times New Roman" w:hAnsi="Times New Roman" w:cs="Times New Roman"/>
          <w:sz w:val="24"/>
          <w:szCs w:val="24"/>
        </w:rPr>
        <w:t xml:space="preserve"> increased predicted permeability by 0.471 while preserving a locally related scaffold. This illustrates the exploitation role of constrained optimization.</w:t>
      </w:r>
    </w:p>
    <w:p w14:paraId="45F57FE7"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A representative de novo candidate can be summarized as </w:t>
      </w:r>
      <w:proofErr w:type="spellStart"/>
      <w:proofErr w:type="gramStart"/>
      <w:r w:rsidRPr="004F451E">
        <w:rPr>
          <w:rFonts w:ascii="Times New Roman" w:hAnsi="Times New Roman" w:cs="Times New Roman"/>
          <w:sz w:val="24"/>
          <w:szCs w:val="24"/>
        </w:rPr>
        <w:t>cyclo</w:t>
      </w:r>
      <w:proofErr w:type="spellEnd"/>
      <w:r w:rsidRPr="004F451E">
        <w:rPr>
          <w:rFonts w:ascii="Times New Roman" w:hAnsi="Times New Roman" w:cs="Times New Roman"/>
          <w:sz w:val="24"/>
          <w:szCs w:val="24"/>
        </w:rPr>
        <w:t>(</w:t>
      </w:r>
      <w:proofErr w:type="spellStart"/>
      <w:proofErr w:type="gramEnd"/>
      <w:r w:rsidRPr="004F451E">
        <w:rPr>
          <w:rFonts w:ascii="Times New Roman" w:hAnsi="Times New Roman" w:cs="Times New Roman"/>
          <w:sz w:val="24"/>
          <w:szCs w:val="24"/>
        </w:rPr>
        <w:t>Me_dA</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Nle</w:t>
      </w:r>
      <w:proofErr w:type="spellEnd"/>
      <w:r w:rsidRPr="004F451E">
        <w:rPr>
          <w:rFonts w:ascii="Times New Roman" w:hAnsi="Times New Roman" w:cs="Times New Roman"/>
          <w:sz w:val="24"/>
          <w:szCs w:val="24"/>
        </w:rPr>
        <w:t>-</w:t>
      </w:r>
      <w:proofErr w:type="spellStart"/>
      <w:r w:rsidRPr="004F451E">
        <w:rPr>
          <w:rFonts w:ascii="Times New Roman" w:hAnsi="Times New Roman" w:cs="Times New Roman"/>
          <w:sz w:val="24"/>
          <w:szCs w:val="24"/>
        </w:rPr>
        <w:t>meL</w:t>
      </w:r>
      <w:proofErr w:type="spellEnd"/>
      <w:r w:rsidRPr="004F451E">
        <w:rPr>
          <w:rFonts w:ascii="Times New Roman" w:hAnsi="Times New Roman" w:cs="Times New Roman"/>
          <w:sz w:val="24"/>
          <w:szCs w:val="24"/>
        </w:rPr>
        <w:t>-P-</w:t>
      </w:r>
      <w:proofErr w:type="spellStart"/>
      <w:r w:rsidRPr="004F451E">
        <w:rPr>
          <w:rFonts w:ascii="Times New Roman" w:hAnsi="Times New Roman" w:cs="Times New Roman"/>
          <w:sz w:val="24"/>
          <w:szCs w:val="24"/>
        </w:rPr>
        <w:t>meL</w:t>
      </w:r>
      <w:proofErr w:type="spellEnd"/>
      <w:r w:rsidRPr="004F451E">
        <w:rPr>
          <w:rFonts w:ascii="Times New Roman" w:hAnsi="Times New Roman" w:cs="Times New Roman"/>
          <w:sz w:val="24"/>
          <w:szCs w:val="24"/>
        </w:rPr>
        <w:t>-F), with predicted permeability -4.479 and predicted positive probability 0.996. Although it is not an exact copy of a training HELM string, its descriptor profile remains close to the high-permeability region, supporting the idea of motif-guided recombination.</w:t>
      </w:r>
    </w:p>
    <w:p w14:paraId="478DEBA0" w14:textId="77777777" w:rsidR="004F451E" w:rsidRPr="004F451E" w:rsidRDefault="004F451E" w:rsidP="004F451E">
      <w:pPr>
        <w:spacing w:after="0" w:line="360" w:lineRule="auto"/>
        <w:jc w:val="both"/>
        <w:rPr>
          <w:rFonts w:ascii="Times New Roman" w:hAnsi="Times New Roman" w:cs="Times New Roman"/>
          <w:sz w:val="24"/>
          <w:szCs w:val="24"/>
        </w:rPr>
      </w:pPr>
    </w:p>
    <w:p w14:paraId="7638A458"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noProof/>
        </w:rPr>
        <w:drawing>
          <wp:inline distT="0" distB="0" distL="0" distR="0" wp14:anchorId="7669D85E" wp14:editId="559E9817">
            <wp:extent cx="5600000" cy="3300000"/>
            <wp:effectExtent l="0" t="0" r="0" b="0"/>
            <wp:docPr id="7" name="Representative cases"/>
            <wp:cNvGraphicFramePr/>
            <a:graphic xmlns:a="http://schemas.openxmlformats.org/drawingml/2006/main">
              <a:graphicData uri="http://schemas.openxmlformats.org/drawingml/2006/picture">
                <pic:pic xmlns:pic="http://schemas.openxmlformats.org/drawingml/2006/picture">
                  <pic:nvPicPr>
                    <pic:cNvPr id="7" name="Representative cases"/>
                    <pic:cNvPicPr/>
                  </pic:nvPicPr>
                  <pic:blipFill>
                    <a:blip r:embed="rId50"/>
                    <a:stretch>
                      <a:fillRect/>
                    </a:stretch>
                  </pic:blipFill>
                  <pic:spPr>
                    <a:xfrm>
                      <a:off x="0" y="0"/>
                      <a:ext cx="5600000" cy="3300000"/>
                    </a:xfrm>
                    <a:prstGeom prst="rect">
                      <a:avLst/>
                    </a:prstGeom>
                  </pic:spPr>
                </pic:pic>
              </a:graphicData>
            </a:graphic>
          </wp:inline>
        </w:drawing>
      </w:r>
    </w:p>
    <w:p w14:paraId="7605C597" w14:textId="77777777" w:rsidR="007634CA" w:rsidRDefault="00000000" w:rsidP="00B3765B">
      <w:pPr>
        <w:jc w:val="both"/>
        <w:rPr>
          <w:rFonts w:ascii="Times New Roman" w:hAnsi="Times New Roman" w:cs="Times New Roman"/>
          <w:sz w:val="21"/>
          <w:szCs w:val="21"/>
        </w:rPr>
      </w:pPr>
      <w:r w:rsidRPr="004F451E">
        <w:rPr>
          <w:rFonts w:ascii="Times New Roman" w:hAnsi="Times New Roman" w:cs="Times New Roman"/>
          <w:sz w:val="21"/>
          <w:szCs w:val="21"/>
        </w:rPr>
        <w:t>Figure 8. Representative case analysis for local optimization and de novo generation.</w:t>
      </w:r>
    </w:p>
    <w:p w14:paraId="732C1D53" w14:textId="77777777" w:rsidR="00851C66" w:rsidRPr="004F451E" w:rsidRDefault="00851C66" w:rsidP="00B3765B">
      <w:pPr>
        <w:jc w:val="both"/>
        <w:rPr>
          <w:rFonts w:ascii="Times New Roman" w:hAnsi="Times New Roman" w:cs="Times New Roman"/>
          <w:sz w:val="21"/>
          <w:szCs w:val="21"/>
        </w:rPr>
      </w:pPr>
    </w:p>
    <w:p w14:paraId="567A3B59"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t>5. Discussion</w:t>
      </w:r>
    </w:p>
    <w:p w14:paraId="2A43AB29"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The central message of this study is that cyclic peptide permeability design should be evaluated under source-aware conditions before generated candidates are trusted. The random-split hybrid model appears strong, but the source split and LOSO results </w:t>
      </w:r>
      <w:r w:rsidRPr="004F451E">
        <w:rPr>
          <w:rFonts w:ascii="Times New Roman" w:hAnsi="Times New Roman" w:cs="Times New Roman"/>
          <w:sz w:val="24"/>
          <w:szCs w:val="24"/>
        </w:rPr>
        <w:lastRenderedPageBreak/>
        <w:t>reveal a substantial reliability gap. Rather than hiding this gap, the framework uses it to motivate uncertainty-aware candidate filtering and conservative interpretation.</w:t>
      </w:r>
    </w:p>
    <w:p w14:paraId="010A17F8"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The source-aware performance drop is also the main limitation of using a learned scorer for design. In this manuscript, the scorer is therefore embedded in a safety-net workflow: uncertainty penalties reduce reliance on unstable predictions, diversity filtering prevents shortlist collapse, exact and nearest-neighbor novelty checks reduce training-set copying, and 3D polarity-proxy analysis tests whether candidates remain near permeability-favorable physicochemical neighborhoods. These safeguards do not replace experimental validation, but they make the design stage more defensible than using the predictor alone.</w:t>
      </w:r>
    </w:p>
    <w:p w14:paraId="7B4630EC"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The two design routes serve different medicinal-chemistry needs. Constrained optimization is suitable when a known permeable scaffold is available and the goal is to propose limited modifications. De novo generation is more useful when broader exploration is desired, but it requires stronger downstream filtering. Combining both routes allows the shortlist to contain both low-risk analogs and more exploratory candidates.</w:t>
      </w:r>
    </w:p>
    <w:p w14:paraId="4ECFD7E7"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The candidate composition is also relevant to experimental feasibility. The optimized shortlist has a mean natural residue ratio of 0.556, mean N-methylation ratio of 0.278, and mean D-residue ratio of 0.167, whereas the de novo shortlist has corresponding values of 0.340, 0.451, and 0.076. These values are within the range commonly explored in synthetic cyclic peptide optimization, where N-methylation, D-amino acids, and non-natural residues are routinely used to tune permeability and proteolytic stability. The shortlist size is also deliberate: a wet-lab follow-up would normally test tens rather than thousands of cyclic peptide analogs, so the 12 and 24 candidate sets are meant as experimentally manageable priority lists. However, the current study does not estimate synthesis cost, protecting-group compatibility, stereochemical purity, or purification difficulty. Comparison to classical orally absorbed cyclic peptides such </w:t>
      </w:r>
      <w:r w:rsidRPr="004F451E">
        <w:rPr>
          <w:rFonts w:ascii="Times New Roman" w:hAnsi="Times New Roman" w:cs="Times New Roman"/>
          <w:sz w:val="24"/>
          <w:szCs w:val="24"/>
        </w:rPr>
        <w:lastRenderedPageBreak/>
        <w:t>as cyclosporin A should therefore be qualitative: our candidates are smaller length-six scaffolds designed for prioritization, not experimentally established oral drugs.</w:t>
      </w:r>
    </w:p>
    <w:p w14:paraId="169A9C33" w14:textId="77777777" w:rsidR="007634CA" w:rsidRPr="004F451E"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This study also clarifies the meaning of novelty. Exact HELM novelty is necessary but insufficient, because a generated peptide may still be a near-neighbor of a training peptide. Reporting both exact novelty and nearest-neighbor novelty depth gives a more honest view of how far candidates move from the training distribution.</w:t>
      </w:r>
    </w:p>
    <w:p w14:paraId="44671DDA"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Mechanistic interpretation remains intentionally conservative. The current 3DPSA/EPSA-style proxy analysis provides only a neighborhood-level indication of polarity behavior. Future work should combine the generated candidates with explicit molecular dynamics simulations in aqueous and membrane-like environments to examine chameleonic conformational behavior, intramolecular hydrogen bonding, and solvent-exposed polarity changes. Such simulations would provide a stronger mechanistic bridge between descriptor-level prioritization and wet-lab permeability assays.</w:t>
      </w:r>
    </w:p>
    <w:p w14:paraId="582FB5FB" w14:textId="77777777" w:rsidR="00851C66" w:rsidRPr="004F451E" w:rsidRDefault="00851C66" w:rsidP="004F451E">
      <w:pPr>
        <w:spacing w:after="0" w:line="360" w:lineRule="auto"/>
        <w:jc w:val="both"/>
        <w:rPr>
          <w:rFonts w:ascii="Times New Roman" w:hAnsi="Times New Roman" w:cs="Times New Roman"/>
          <w:sz w:val="24"/>
          <w:szCs w:val="24"/>
        </w:rPr>
      </w:pPr>
    </w:p>
    <w:p w14:paraId="42F11F6B"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t>6. Limitations</w:t>
      </w:r>
    </w:p>
    <w:p w14:paraId="374F22F0"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First, the study focuses on length-six cyclic peptides. This choice controls the design space but limits direct generalization to shorter or longer peptides. Second, the work remains computational and lacks PAMPA, Caco-2, cellular uptake, or target-engagement validation. The generated shortlists should therefore be viewed as prioritized candidates rather than confirmed permeable molecules. Third, the scorer still loses performance under source shift, indicating that future work should incorporate richer 3D/4D conformational ensembles, experimental-condition metadata, or external validation sets. Fourth, the calibration analysis reduces but does not eliminate uncertainty in probability-based ranking. Fifth, HELM tokenization provides a practical macromolecular representation but can underrepresent stereochemical subtleties, conformational ensembles, and context-dependent side-chain shielding. Sixth, the binary threshold of -6.0 follows a pragmatic permeability </w:t>
      </w:r>
      <w:r w:rsidRPr="004F451E">
        <w:rPr>
          <w:rFonts w:ascii="Times New Roman" w:hAnsi="Times New Roman" w:cs="Times New Roman"/>
          <w:sz w:val="24"/>
          <w:szCs w:val="24"/>
        </w:rPr>
        <w:lastRenderedPageBreak/>
        <w:t>cutoff, but threshold sensitivity was not exhaustively explored; future work should report continuous regression, multiple classification thresholds, and assay-specific decision boundaries.</w:t>
      </w:r>
    </w:p>
    <w:p w14:paraId="7B0C10E2" w14:textId="77777777" w:rsidR="00851C66" w:rsidRPr="004F451E" w:rsidRDefault="00851C66" w:rsidP="004F451E">
      <w:pPr>
        <w:spacing w:after="0" w:line="360" w:lineRule="auto"/>
        <w:jc w:val="both"/>
        <w:rPr>
          <w:rFonts w:ascii="Times New Roman" w:hAnsi="Times New Roman" w:cs="Times New Roman"/>
          <w:sz w:val="24"/>
          <w:szCs w:val="24"/>
        </w:rPr>
      </w:pPr>
    </w:p>
    <w:p w14:paraId="71FC2D92"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t>7. Conclusions</w:t>
      </w:r>
    </w:p>
    <w:p w14:paraId="726D38D1"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We developed a public and reproducible source-aware workflow for membrane-permeable cyclic peptide prediction and design. The framework combines descriptor-guided robust prediction, constrained optimization, multi-objective de novo generation, uncertainty-aware filtering, and multi-layer candidate validation. The results show that random-split performance overstates practical reliability, while source-aware evaluation provides a more useful basis for design. The final shortlists should be carried forward to higher-fidelity conformational modeling and experimental validation.</w:t>
      </w:r>
    </w:p>
    <w:p w14:paraId="15F34B7B" w14:textId="77777777" w:rsidR="004F451E" w:rsidRDefault="004F451E" w:rsidP="004F451E">
      <w:pPr>
        <w:spacing w:after="0" w:line="360" w:lineRule="auto"/>
        <w:jc w:val="both"/>
        <w:rPr>
          <w:rFonts w:ascii="Times New Roman" w:hAnsi="Times New Roman" w:cs="Times New Roman"/>
          <w:sz w:val="24"/>
          <w:szCs w:val="24"/>
        </w:rPr>
      </w:pPr>
    </w:p>
    <w:p w14:paraId="707AF727" w14:textId="28282E3F" w:rsidR="00851C66" w:rsidRPr="00B3765B" w:rsidRDefault="00851C66" w:rsidP="00851C66">
      <w:pPr>
        <w:pStyle w:val="1"/>
        <w:jc w:val="both"/>
        <w:rPr>
          <w:rFonts w:ascii="Times New Roman" w:hAnsi="Times New Roman" w:cs="Times New Roman"/>
        </w:rPr>
      </w:pPr>
      <w:r>
        <w:rPr>
          <w:rFonts w:ascii="Times New Roman" w:hAnsi="Times New Roman" w:cs="Times New Roman" w:hint="eastAsia"/>
        </w:rPr>
        <w:t>8</w:t>
      </w:r>
      <w:r>
        <w:rPr>
          <w:rFonts w:ascii="Times New Roman" w:hAnsi="Times New Roman" w:cs="Times New Roman" w:hint="eastAsia"/>
        </w:rPr>
        <w:t xml:space="preserve">.  </w:t>
      </w:r>
      <w:r w:rsidRPr="00B3765B">
        <w:rPr>
          <w:rFonts w:ascii="Times New Roman" w:hAnsi="Times New Roman" w:cs="Times New Roman"/>
        </w:rPr>
        <w:t>References</w:t>
      </w:r>
    </w:p>
    <w:p w14:paraId="386881C3"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jc w:val="both"/>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White CJ, Yudin AK. Contemporary strategies for peptide macrocyclization. Nature Chemistry. </w:t>
      </w:r>
      <w:proofErr w:type="gramStart"/>
      <w:r w:rsidRPr="00851C66">
        <w:rPr>
          <w:rFonts w:ascii="Times New Roman" w:eastAsia="微软雅黑" w:hAnsi="Times New Roman" w:cs="Times New Roman"/>
          <w:sz w:val="24"/>
          <w:szCs w:val="24"/>
          <w14:ligatures w14:val="none"/>
        </w:rPr>
        <w:t>2011;3:509</w:t>
      </w:r>
      <w:proofErr w:type="gramEnd"/>
      <w:r w:rsidRPr="00851C66">
        <w:rPr>
          <w:rFonts w:ascii="Times New Roman" w:eastAsia="微软雅黑" w:hAnsi="Times New Roman" w:cs="Times New Roman"/>
          <w:sz w:val="24"/>
          <w:szCs w:val="24"/>
          <w14:ligatures w14:val="none"/>
        </w:rPr>
        <w:t>-524. https://doi.org/10.1038/nchem.1062.</w:t>
      </w:r>
    </w:p>
    <w:p w14:paraId="1C46F394"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proofErr w:type="spellStart"/>
      <w:r w:rsidRPr="00851C66">
        <w:rPr>
          <w:rFonts w:ascii="Times New Roman" w:eastAsia="微软雅黑" w:hAnsi="Times New Roman" w:cs="Times New Roman"/>
          <w:sz w:val="24"/>
          <w:szCs w:val="24"/>
          <w14:ligatures w14:val="none"/>
        </w:rPr>
        <w:t>Muttenthaler</w:t>
      </w:r>
      <w:proofErr w:type="spellEnd"/>
      <w:r w:rsidRPr="00851C66">
        <w:rPr>
          <w:rFonts w:ascii="Times New Roman" w:eastAsia="微软雅黑" w:hAnsi="Times New Roman" w:cs="Times New Roman"/>
          <w:sz w:val="24"/>
          <w:szCs w:val="24"/>
          <w14:ligatures w14:val="none"/>
        </w:rPr>
        <w:t xml:space="preserve"> M, King GF, Adams DJ, </w:t>
      </w:r>
      <w:proofErr w:type="spellStart"/>
      <w:r w:rsidRPr="00851C66">
        <w:rPr>
          <w:rFonts w:ascii="Times New Roman" w:eastAsia="微软雅黑" w:hAnsi="Times New Roman" w:cs="Times New Roman"/>
          <w:sz w:val="24"/>
          <w:szCs w:val="24"/>
          <w14:ligatures w14:val="none"/>
        </w:rPr>
        <w:t>Alewood</w:t>
      </w:r>
      <w:proofErr w:type="spellEnd"/>
      <w:r w:rsidRPr="00851C66">
        <w:rPr>
          <w:rFonts w:ascii="Times New Roman" w:eastAsia="微软雅黑" w:hAnsi="Times New Roman" w:cs="Times New Roman"/>
          <w:sz w:val="24"/>
          <w:szCs w:val="24"/>
          <w14:ligatures w14:val="none"/>
        </w:rPr>
        <w:t xml:space="preserve"> PF. Trends in peptide drug discovery. Nature Reviews Drug Discovery. </w:t>
      </w:r>
      <w:proofErr w:type="gramStart"/>
      <w:r w:rsidRPr="00851C66">
        <w:rPr>
          <w:rFonts w:ascii="Times New Roman" w:eastAsia="微软雅黑" w:hAnsi="Times New Roman" w:cs="Times New Roman"/>
          <w:sz w:val="24"/>
          <w:szCs w:val="24"/>
          <w14:ligatures w14:val="none"/>
        </w:rPr>
        <w:t>2021;20:309</w:t>
      </w:r>
      <w:proofErr w:type="gramEnd"/>
      <w:r w:rsidRPr="00851C66">
        <w:rPr>
          <w:rFonts w:ascii="Times New Roman" w:eastAsia="微软雅黑" w:hAnsi="Times New Roman" w:cs="Times New Roman"/>
          <w:sz w:val="24"/>
          <w:szCs w:val="24"/>
          <w14:ligatures w14:val="none"/>
        </w:rPr>
        <w:t>-325. https://doi.org/10.1038/s41573-020-00135-8.</w:t>
      </w:r>
    </w:p>
    <w:p w14:paraId="68FB3128"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Zorzi A, Deyle K, Heinis C. Cyclic peptide therapeutics: past, present and future. Current Opinion in Chemical Biology. </w:t>
      </w:r>
      <w:proofErr w:type="gramStart"/>
      <w:r w:rsidRPr="00851C66">
        <w:rPr>
          <w:rFonts w:ascii="Times New Roman" w:eastAsia="微软雅黑" w:hAnsi="Times New Roman" w:cs="Times New Roman"/>
          <w:sz w:val="24"/>
          <w:szCs w:val="24"/>
          <w14:ligatures w14:val="none"/>
        </w:rPr>
        <w:t>2017;38:24</w:t>
      </w:r>
      <w:proofErr w:type="gramEnd"/>
      <w:r w:rsidRPr="00851C66">
        <w:rPr>
          <w:rFonts w:ascii="Times New Roman" w:eastAsia="微软雅黑" w:hAnsi="Times New Roman" w:cs="Times New Roman"/>
          <w:sz w:val="24"/>
          <w:szCs w:val="24"/>
          <w14:ligatures w14:val="none"/>
        </w:rPr>
        <w:t>-29. https://doi.org/10.1016/j.cbpa.2017.02.006.</w:t>
      </w:r>
    </w:p>
    <w:p w14:paraId="0799B4CF"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Nielsen DS, Shepherd NE, Xu W, Lucke AJ, Stoermer MJ, Fairlie DP. Orally absorbed cyclic</w:t>
      </w:r>
      <w:r w:rsidRPr="00851C66">
        <w:rPr>
          <w:rFonts w:ascii="Times New Roman" w:eastAsia="微软雅黑" w:hAnsi="Times New Roman" w:cs="Times New Roman" w:hint="eastAsia"/>
          <w:sz w:val="24"/>
          <w:szCs w:val="24"/>
          <w14:ligatures w14:val="none"/>
        </w:rPr>
        <w:t xml:space="preserve"> </w:t>
      </w:r>
      <w:r w:rsidRPr="00851C66">
        <w:rPr>
          <w:rFonts w:ascii="Times New Roman" w:eastAsia="微软雅黑" w:hAnsi="Times New Roman" w:cs="Times New Roman"/>
          <w:sz w:val="24"/>
          <w:szCs w:val="24"/>
          <w14:ligatures w14:val="none"/>
        </w:rPr>
        <w:t xml:space="preserve">peptides. Chemical Reviews. </w:t>
      </w:r>
      <w:proofErr w:type="gramStart"/>
      <w:r w:rsidRPr="00851C66">
        <w:rPr>
          <w:rFonts w:ascii="Times New Roman" w:eastAsia="微软雅黑" w:hAnsi="Times New Roman" w:cs="Times New Roman"/>
          <w:sz w:val="24"/>
          <w:szCs w:val="24"/>
          <w14:ligatures w14:val="none"/>
        </w:rPr>
        <w:t>2017;117:8094</w:t>
      </w:r>
      <w:proofErr w:type="gramEnd"/>
      <w:r w:rsidRPr="00851C66">
        <w:rPr>
          <w:rFonts w:ascii="Times New Roman" w:eastAsia="微软雅黑" w:hAnsi="Times New Roman" w:cs="Times New Roman"/>
          <w:sz w:val="24"/>
          <w:szCs w:val="24"/>
          <w14:ligatures w14:val="none"/>
        </w:rPr>
        <w:t>-8128. https://doi.org/10.1021/acs.chemrev.6b00838.</w:t>
      </w:r>
    </w:p>
    <w:p w14:paraId="2EBA248B"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lastRenderedPageBreak/>
        <w:t xml:space="preserve">Naylor MR, Bockus AT, Blanco MJ, Lokey RS. Cyclic peptide natural products chart the frontier of oral bioavailability in the pursuit of undruggable targets. Current Opinion in Chemical Biology. </w:t>
      </w:r>
      <w:proofErr w:type="gramStart"/>
      <w:r w:rsidRPr="00851C66">
        <w:rPr>
          <w:rFonts w:ascii="Times New Roman" w:eastAsia="微软雅黑" w:hAnsi="Times New Roman" w:cs="Times New Roman"/>
          <w:sz w:val="24"/>
          <w:szCs w:val="24"/>
          <w14:ligatures w14:val="none"/>
        </w:rPr>
        <w:t>2017;38:141</w:t>
      </w:r>
      <w:proofErr w:type="gramEnd"/>
      <w:r w:rsidRPr="00851C66">
        <w:rPr>
          <w:rFonts w:ascii="Times New Roman" w:eastAsia="微软雅黑" w:hAnsi="Times New Roman" w:cs="Times New Roman"/>
          <w:sz w:val="24"/>
          <w:szCs w:val="24"/>
          <w14:ligatures w14:val="none"/>
        </w:rPr>
        <w:t>-147. https://doi.org/10.1016/j.cbpa.2017.04.012.</w:t>
      </w:r>
    </w:p>
    <w:p w14:paraId="3618BCF1"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Rezai T, Yu B, </w:t>
      </w:r>
      <w:proofErr w:type="spellStart"/>
      <w:r w:rsidRPr="00851C66">
        <w:rPr>
          <w:rFonts w:ascii="Times New Roman" w:eastAsia="微软雅黑" w:hAnsi="Times New Roman" w:cs="Times New Roman"/>
          <w:sz w:val="24"/>
          <w:szCs w:val="24"/>
          <w14:ligatures w14:val="none"/>
        </w:rPr>
        <w:t>Millhauser</w:t>
      </w:r>
      <w:proofErr w:type="spellEnd"/>
      <w:r w:rsidRPr="00851C66">
        <w:rPr>
          <w:rFonts w:ascii="Times New Roman" w:eastAsia="微软雅黑" w:hAnsi="Times New Roman" w:cs="Times New Roman"/>
          <w:sz w:val="24"/>
          <w:szCs w:val="24"/>
          <w14:ligatures w14:val="none"/>
        </w:rPr>
        <w:t xml:space="preserve"> GL, Jacobson MP, Lokey RS. Testing the conformational hypothesis of passive membrane permeability using synthetic cyclic peptide diastereomers. Journal of the American Chemical Society. </w:t>
      </w:r>
      <w:proofErr w:type="gramStart"/>
      <w:r w:rsidRPr="00851C66">
        <w:rPr>
          <w:rFonts w:ascii="Times New Roman" w:eastAsia="微软雅黑" w:hAnsi="Times New Roman" w:cs="Times New Roman"/>
          <w:sz w:val="24"/>
          <w:szCs w:val="24"/>
          <w14:ligatures w14:val="none"/>
        </w:rPr>
        <w:t>2006;128:2510</w:t>
      </w:r>
      <w:proofErr w:type="gramEnd"/>
      <w:r w:rsidRPr="00851C66">
        <w:rPr>
          <w:rFonts w:ascii="Times New Roman" w:eastAsia="微软雅黑" w:hAnsi="Times New Roman" w:cs="Times New Roman"/>
          <w:sz w:val="24"/>
          <w:szCs w:val="24"/>
          <w14:ligatures w14:val="none"/>
        </w:rPr>
        <w:t>-2511. https://doi.org/10.1021/ja0563455.</w:t>
      </w:r>
    </w:p>
    <w:p w14:paraId="6E153839"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Rezai T, Bock JE, Zhou MV, Kalyanaraman C, Lokey RS, Jacobson MP. Conformational flexibility, internal hydrogen bonding, and passive membrane permeability: successful in silico prediction of the relative permeabilities of cyclic peptides. Journal of the American Chemical Society. </w:t>
      </w:r>
      <w:proofErr w:type="gramStart"/>
      <w:r w:rsidRPr="00851C66">
        <w:rPr>
          <w:rFonts w:ascii="Times New Roman" w:eastAsia="微软雅黑" w:hAnsi="Times New Roman" w:cs="Times New Roman"/>
          <w:sz w:val="24"/>
          <w:szCs w:val="24"/>
          <w14:ligatures w14:val="none"/>
        </w:rPr>
        <w:t>2006;128:14073</w:t>
      </w:r>
      <w:proofErr w:type="gramEnd"/>
      <w:r w:rsidRPr="00851C66">
        <w:rPr>
          <w:rFonts w:ascii="Times New Roman" w:eastAsia="微软雅黑" w:hAnsi="Times New Roman" w:cs="Times New Roman"/>
          <w:sz w:val="24"/>
          <w:szCs w:val="24"/>
          <w14:ligatures w14:val="none"/>
        </w:rPr>
        <w:t>-14080. https://doi.org/10.1021/ja063076p.</w:t>
      </w:r>
    </w:p>
    <w:p w14:paraId="3F1AD845"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Chatterjee J, Gilon C, Hoffman A, Kessler H. N-methylation of peptides: a new perspective in medicinal chemistry. Accounts of Chemical Research. </w:t>
      </w:r>
      <w:proofErr w:type="gramStart"/>
      <w:r w:rsidRPr="00851C66">
        <w:rPr>
          <w:rFonts w:ascii="Times New Roman" w:eastAsia="微软雅黑" w:hAnsi="Times New Roman" w:cs="Times New Roman"/>
          <w:sz w:val="24"/>
          <w:szCs w:val="24"/>
          <w14:ligatures w14:val="none"/>
        </w:rPr>
        <w:t>2008;41:1331</w:t>
      </w:r>
      <w:proofErr w:type="gramEnd"/>
      <w:r w:rsidRPr="00851C66">
        <w:rPr>
          <w:rFonts w:ascii="Times New Roman" w:eastAsia="微软雅黑" w:hAnsi="Times New Roman" w:cs="Times New Roman"/>
          <w:sz w:val="24"/>
          <w:szCs w:val="24"/>
          <w14:ligatures w14:val="none"/>
        </w:rPr>
        <w:t>-1342. https://doi.org/10.1021/ar8000603.</w:t>
      </w:r>
    </w:p>
    <w:p w14:paraId="03E7A8C2"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Over B, Matsson P, </w:t>
      </w:r>
      <w:proofErr w:type="spellStart"/>
      <w:r w:rsidRPr="00851C66">
        <w:rPr>
          <w:rFonts w:ascii="Times New Roman" w:eastAsia="微软雅黑" w:hAnsi="Times New Roman" w:cs="Times New Roman"/>
          <w:sz w:val="24"/>
          <w:szCs w:val="24"/>
          <w14:ligatures w14:val="none"/>
        </w:rPr>
        <w:t>Tyrchan</w:t>
      </w:r>
      <w:proofErr w:type="spellEnd"/>
      <w:r w:rsidRPr="00851C66">
        <w:rPr>
          <w:rFonts w:ascii="Times New Roman" w:eastAsia="微软雅黑" w:hAnsi="Times New Roman" w:cs="Times New Roman"/>
          <w:sz w:val="24"/>
          <w:szCs w:val="24"/>
          <w14:ligatures w14:val="none"/>
        </w:rPr>
        <w:t xml:space="preserve"> C, Artursson P, Doak BC, Foley MA, Hilgendorf C, Johnston SE, Lee MD IV, Lewis RJ, McCarren P, </w:t>
      </w:r>
      <w:proofErr w:type="spellStart"/>
      <w:r w:rsidRPr="00851C66">
        <w:rPr>
          <w:rFonts w:ascii="Times New Roman" w:eastAsia="微软雅黑" w:hAnsi="Times New Roman" w:cs="Times New Roman"/>
          <w:sz w:val="24"/>
          <w:szCs w:val="24"/>
          <w14:ligatures w14:val="none"/>
        </w:rPr>
        <w:t>Muncipinto</w:t>
      </w:r>
      <w:proofErr w:type="spellEnd"/>
      <w:r w:rsidRPr="00851C66">
        <w:rPr>
          <w:rFonts w:ascii="Times New Roman" w:eastAsia="微软雅黑" w:hAnsi="Times New Roman" w:cs="Times New Roman"/>
          <w:sz w:val="24"/>
          <w:szCs w:val="24"/>
          <w14:ligatures w14:val="none"/>
        </w:rPr>
        <w:t xml:space="preserve"> G, Norinder U, Perry MWD, Duvall JR, Kihlberg J. Structural and conformational determinants of macrocycle cell permeability. Nature Chemical Biology. </w:t>
      </w:r>
      <w:proofErr w:type="gramStart"/>
      <w:r w:rsidRPr="00851C66">
        <w:rPr>
          <w:rFonts w:ascii="Times New Roman" w:eastAsia="微软雅黑" w:hAnsi="Times New Roman" w:cs="Times New Roman"/>
          <w:sz w:val="24"/>
          <w:szCs w:val="24"/>
          <w14:ligatures w14:val="none"/>
        </w:rPr>
        <w:t>2016;12:1065</w:t>
      </w:r>
      <w:proofErr w:type="gramEnd"/>
      <w:r w:rsidRPr="00851C66">
        <w:rPr>
          <w:rFonts w:ascii="Times New Roman" w:eastAsia="微软雅黑" w:hAnsi="Times New Roman" w:cs="Times New Roman"/>
          <w:sz w:val="24"/>
          <w:szCs w:val="24"/>
          <w14:ligatures w14:val="none"/>
        </w:rPr>
        <w:t>-1074. https://doi.org/10.1038/nchembio.2203.</w:t>
      </w:r>
    </w:p>
    <w:p w14:paraId="6941DE36"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proofErr w:type="spellStart"/>
      <w:r w:rsidRPr="00851C66">
        <w:rPr>
          <w:rFonts w:ascii="Times New Roman" w:eastAsia="微软雅黑" w:hAnsi="Times New Roman" w:cs="Times New Roman"/>
          <w:sz w:val="24"/>
          <w:szCs w:val="24"/>
          <w14:ligatures w14:val="none"/>
        </w:rPr>
        <w:t>Walport</w:t>
      </w:r>
      <w:proofErr w:type="spellEnd"/>
      <w:r w:rsidRPr="00851C66">
        <w:rPr>
          <w:rFonts w:ascii="Times New Roman" w:eastAsia="微软雅黑" w:hAnsi="Times New Roman" w:cs="Times New Roman"/>
          <w:sz w:val="24"/>
          <w:szCs w:val="24"/>
          <w14:ligatures w14:val="none"/>
        </w:rPr>
        <w:t xml:space="preserve"> LJ, </w:t>
      </w:r>
      <w:proofErr w:type="spellStart"/>
      <w:r w:rsidRPr="00851C66">
        <w:rPr>
          <w:rFonts w:ascii="Times New Roman" w:eastAsia="微软雅黑" w:hAnsi="Times New Roman" w:cs="Times New Roman"/>
          <w:sz w:val="24"/>
          <w:szCs w:val="24"/>
          <w14:ligatures w14:val="none"/>
        </w:rPr>
        <w:t>Obexer</w:t>
      </w:r>
      <w:proofErr w:type="spellEnd"/>
      <w:r w:rsidRPr="00851C66">
        <w:rPr>
          <w:rFonts w:ascii="Times New Roman" w:eastAsia="微软雅黑" w:hAnsi="Times New Roman" w:cs="Times New Roman"/>
          <w:sz w:val="24"/>
          <w:szCs w:val="24"/>
          <w14:ligatures w14:val="none"/>
        </w:rPr>
        <w:t xml:space="preserve"> R, Suga H. Strategies for transitioning macrocyclic peptides to cell-permeable drug leads. Current Opinion in Biotechnology. </w:t>
      </w:r>
      <w:proofErr w:type="gramStart"/>
      <w:r w:rsidRPr="00851C66">
        <w:rPr>
          <w:rFonts w:ascii="Times New Roman" w:eastAsia="微软雅黑" w:hAnsi="Times New Roman" w:cs="Times New Roman"/>
          <w:sz w:val="24"/>
          <w:szCs w:val="24"/>
          <w14:ligatures w14:val="none"/>
        </w:rPr>
        <w:t>2017;48:242</w:t>
      </w:r>
      <w:proofErr w:type="gramEnd"/>
      <w:r w:rsidRPr="00851C66">
        <w:rPr>
          <w:rFonts w:ascii="Times New Roman" w:eastAsia="微软雅黑" w:hAnsi="Times New Roman" w:cs="Times New Roman"/>
          <w:sz w:val="24"/>
          <w:szCs w:val="24"/>
          <w14:ligatures w14:val="none"/>
        </w:rPr>
        <w:t>-250. https://doi.org/10.1016/j.copbio.2017.07.007.</w:t>
      </w:r>
    </w:p>
    <w:p w14:paraId="1EF69F40"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Whitty A, Zhong M, Viarengo L, </w:t>
      </w:r>
      <w:proofErr w:type="spellStart"/>
      <w:r w:rsidRPr="00851C66">
        <w:rPr>
          <w:rFonts w:ascii="Times New Roman" w:eastAsia="微软雅黑" w:hAnsi="Times New Roman" w:cs="Times New Roman"/>
          <w:sz w:val="24"/>
          <w:szCs w:val="24"/>
          <w14:ligatures w14:val="none"/>
        </w:rPr>
        <w:t>Beglov</w:t>
      </w:r>
      <w:proofErr w:type="spellEnd"/>
      <w:r w:rsidRPr="00851C66">
        <w:rPr>
          <w:rFonts w:ascii="Times New Roman" w:eastAsia="微软雅黑" w:hAnsi="Times New Roman" w:cs="Times New Roman"/>
          <w:sz w:val="24"/>
          <w:szCs w:val="24"/>
          <w14:ligatures w14:val="none"/>
        </w:rPr>
        <w:t xml:space="preserve"> D, Hall DR, Vajda S. Quantifying the chameleonic properties of macrocycles and other high-molecular-weight drugs. Drug Discovery Today. </w:t>
      </w:r>
      <w:proofErr w:type="gramStart"/>
      <w:r w:rsidRPr="00851C66">
        <w:rPr>
          <w:rFonts w:ascii="Times New Roman" w:eastAsia="微软雅黑" w:hAnsi="Times New Roman" w:cs="Times New Roman"/>
          <w:sz w:val="24"/>
          <w:szCs w:val="24"/>
          <w14:ligatures w14:val="none"/>
        </w:rPr>
        <w:t>2016;21:712</w:t>
      </w:r>
      <w:proofErr w:type="gramEnd"/>
      <w:r w:rsidRPr="00851C66">
        <w:rPr>
          <w:rFonts w:ascii="Times New Roman" w:eastAsia="微软雅黑" w:hAnsi="Times New Roman" w:cs="Times New Roman"/>
          <w:sz w:val="24"/>
          <w:szCs w:val="24"/>
          <w14:ligatures w14:val="none"/>
        </w:rPr>
        <w:t>-717. https://doi.org/10.1016/j.drudis.2016.02.005.</w:t>
      </w:r>
    </w:p>
    <w:p w14:paraId="764827B9"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lastRenderedPageBreak/>
        <w:t xml:space="preserve">Li J, Yanagisawa K, Sugita M, Fujie T, </w:t>
      </w:r>
      <w:proofErr w:type="spellStart"/>
      <w:r w:rsidRPr="00851C66">
        <w:rPr>
          <w:rFonts w:ascii="Times New Roman" w:eastAsia="微软雅黑" w:hAnsi="Times New Roman" w:cs="Times New Roman"/>
          <w:sz w:val="24"/>
          <w:szCs w:val="24"/>
          <w14:ligatures w14:val="none"/>
        </w:rPr>
        <w:t>Ohue</w:t>
      </w:r>
      <w:proofErr w:type="spellEnd"/>
      <w:r w:rsidRPr="00851C66">
        <w:rPr>
          <w:rFonts w:ascii="Times New Roman" w:eastAsia="微软雅黑" w:hAnsi="Times New Roman" w:cs="Times New Roman"/>
          <w:sz w:val="24"/>
          <w:szCs w:val="24"/>
          <w14:ligatures w14:val="none"/>
        </w:rPr>
        <w:t xml:space="preserve"> M, Akiyama Y. </w:t>
      </w:r>
      <w:proofErr w:type="spellStart"/>
      <w:r w:rsidRPr="00851C66">
        <w:rPr>
          <w:rFonts w:ascii="Times New Roman" w:eastAsia="微软雅黑" w:hAnsi="Times New Roman" w:cs="Times New Roman"/>
          <w:sz w:val="24"/>
          <w:szCs w:val="24"/>
          <w14:ligatures w14:val="none"/>
        </w:rPr>
        <w:t>CycPeptMPDB</w:t>
      </w:r>
      <w:proofErr w:type="spellEnd"/>
      <w:r w:rsidRPr="00851C66">
        <w:rPr>
          <w:rFonts w:ascii="Times New Roman" w:eastAsia="微软雅黑" w:hAnsi="Times New Roman" w:cs="Times New Roman"/>
          <w:sz w:val="24"/>
          <w:szCs w:val="24"/>
          <w14:ligatures w14:val="none"/>
        </w:rPr>
        <w:t xml:space="preserve">: a comprehensive database of membrane permeability of cyclic peptides. Journal of Chemical Information and Modeling. </w:t>
      </w:r>
      <w:proofErr w:type="gramStart"/>
      <w:r w:rsidRPr="00851C66">
        <w:rPr>
          <w:rFonts w:ascii="Times New Roman" w:eastAsia="微软雅黑" w:hAnsi="Times New Roman" w:cs="Times New Roman"/>
          <w:sz w:val="24"/>
          <w:szCs w:val="24"/>
          <w14:ligatures w14:val="none"/>
        </w:rPr>
        <w:t>2023;63:2240</w:t>
      </w:r>
      <w:proofErr w:type="gramEnd"/>
      <w:r w:rsidRPr="00851C66">
        <w:rPr>
          <w:rFonts w:ascii="Times New Roman" w:eastAsia="微软雅黑" w:hAnsi="Times New Roman" w:cs="Times New Roman"/>
          <w:sz w:val="24"/>
          <w:szCs w:val="24"/>
          <w14:ligatures w14:val="none"/>
        </w:rPr>
        <w:t>-2250. https://doi.org/10.1021/acs.jcim.2c01573.</w:t>
      </w:r>
    </w:p>
    <w:p w14:paraId="4928DD5E"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Yu Y, Gu M, Guo H, Deng Y, Chen D, Wang J, Wang C, Liu X, Yan W, Huang J. </w:t>
      </w:r>
      <w:proofErr w:type="spellStart"/>
      <w:r w:rsidRPr="00851C66">
        <w:rPr>
          <w:rFonts w:ascii="Times New Roman" w:eastAsia="微软雅黑" w:hAnsi="Times New Roman" w:cs="Times New Roman"/>
          <w:sz w:val="24"/>
          <w:szCs w:val="24"/>
          <w14:ligatures w14:val="none"/>
        </w:rPr>
        <w:t>MuCoCP</w:t>
      </w:r>
      <w:proofErr w:type="spellEnd"/>
      <w:r w:rsidRPr="00851C66">
        <w:rPr>
          <w:rFonts w:ascii="Times New Roman" w:eastAsia="微软雅黑" w:hAnsi="Times New Roman" w:cs="Times New Roman"/>
          <w:sz w:val="24"/>
          <w:szCs w:val="24"/>
          <w14:ligatures w14:val="none"/>
        </w:rPr>
        <w:t>: a priori chemical knowledge-based multimodal contrastive learning pre-trained neural network for the prediction of cyclic peptide membrane penetration ability. Bioinformatics. 2024;</w:t>
      </w:r>
      <w:proofErr w:type="gramStart"/>
      <w:r w:rsidRPr="00851C66">
        <w:rPr>
          <w:rFonts w:ascii="Times New Roman" w:eastAsia="微软雅黑" w:hAnsi="Times New Roman" w:cs="Times New Roman"/>
          <w:sz w:val="24"/>
          <w:szCs w:val="24"/>
          <w14:ligatures w14:val="none"/>
        </w:rPr>
        <w:t>40:btae</w:t>
      </w:r>
      <w:proofErr w:type="gramEnd"/>
      <w:r w:rsidRPr="00851C66">
        <w:rPr>
          <w:rFonts w:ascii="Times New Roman" w:eastAsia="微软雅黑" w:hAnsi="Times New Roman" w:cs="Times New Roman"/>
          <w:sz w:val="24"/>
          <w:szCs w:val="24"/>
          <w14:ligatures w14:val="none"/>
        </w:rPr>
        <w:t>473. https://doi.org/10.1093/bioinformatics/btae473.</w:t>
      </w:r>
    </w:p>
    <w:p w14:paraId="3FC12E0C"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Cao L, Xu Z, Shang T, Zhang C, Wu X, Wu Y, Zhai S, Zhan Z, Duan H. </w:t>
      </w:r>
      <w:proofErr w:type="spellStart"/>
      <w:r w:rsidRPr="00851C66">
        <w:rPr>
          <w:rFonts w:ascii="Times New Roman" w:eastAsia="微软雅黑" w:hAnsi="Times New Roman" w:cs="Times New Roman"/>
          <w:sz w:val="24"/>
          <w:szCs w:val="24"/>
          <w14:ligatures w14:val="none"/>
        </w:rPr>
        <w:t>Multi_CycGT</w:t>
      </w:r>
      <w:proofErr w:type="spellEnd"/>
      <w:r w:rsidRPr="00851C66">
        <w:rPr>
          <w:rFonts w:ascii="Times New Roman" w:eastAsia="微软雅黑" w:hAnsi="Times New Roman" w:cs="Times New Roman"/>
          <w:sz w:val="24"/>
          <w:szCs w:val="24"/>
          <w14:ligatures w14:val="none"/>
        </w:rPr>
        <w:t xml:space="preserve">: a deep learning-based multimodal model for predicting the membrane permeability of cyclic peptides. Journal of Medicinal Chemistry. </w:t>
      </w:r>
      <w:proofErr w:type="gramStart"/>
      <w:r w:rsidRPr="00851C66">
        <w:rPr>
          <w:rFonts w:ascii="Times New Roman" w:eastAsia="微软雅黑" w:hAnsi="Times New Roman" w:cs="Times New Roman"/>
          <w:sz w:val="24"/>
          <w:szCs w:val="24"/>
          <w14:ligatures w14:val="none"/>
        </w:rPr>
        <w:t>2024;67:1888</w:t>
      </w:r>
      <w:proofErr w:type="gramEnd"/>
      <w:r w:rsidRPr="00851C66">
        <w:rPr>
          <w:rFonts w:ascii="Times New Roman" w:eastAsia="微软雅黑" w:hAnsi="Times New Roman" w:cs="Times New Roman"/>
          <w:sz w:val="24"/>
          <w:szCs w:val="24"/>
          <w14:ligatures w14:val="none"/>
        </w:rPr>
        <w:t>-1899. https://doi.org/10.1021/acs.jmedchem.3c01611.</w:t>
      </w:r>
    </w:p>
    <w:p w14:paraId="71106676"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Wang Z, Chen Y, Shang Y, Yang X, Pan W, Ye X, Sakurai T, Zeng X. </w:t>
      </w:r>
      <w:proofErr w:type="spellStart"/>
      <w:r w:rsidRPr="00851C66">
        <w:rPr>
          <w:rFonts w:ascii="Times New Roman" w:eastAsia="微软雅黑" w:hAnsi="Times New Roman" w:cs="Times New Roman"/>
          <w:sz w:val="24"/>
          <w:szCs w:val="24"/>
          <w14:ligatures w14:val="none"/>
        </w:rPr>
        <w:t>MultiCycPermea</w:t>
      </w:r>
      <w:proofErr w:type="spellEnd"/>
      <w:r w:rsidRPr="00851C66">
        <w:rPr>
          <w:rFonts w:ascii="Times New Roman" w:eastAsia="微软雅黑" w:hAnsi="Times New Roman" w:cs="Times New Roman"/>
          <w:sz w:val="24"/>
          <w:szCs w:val="24"/>
          <w14:ligatures w14:val="none"/>
        </w:rPr>
        <w:t xml:space="preserve">: accurate and interpretable prediction of cyclic peptide permeability using a multimodal image-sequence model. BMC Biology. </w:t>
      </w:r>
      <w:proofErr w:type="gramStart"/>
      <w:r w:rsidRPr="00851C66">
        <w:rPr>
          <w:rFonts w:ascii="Times New Roman" w:eastAsia="微软雅黑" w:hAnsi="Times New Roman" w:cs="Times New Roman"/>
          <w:sz w:val="24"/>
          <w:szCs w:val="24"/>
          <w14:ligatures w14:val="none"/>
        </w:rPr>
        <w:t>2025;23:63</w:t>
      </w:r>
      <w:proofErr w:type="gramEnd"/>
      <w:r w:rsidRPr="00851C66">
        <w:rPr>
          <w:rFonts w:ascii="Times New Roman" w:eastAsia="微软雅黑" w:hAnsi="Times New Roman" w:cs="Times New Roman"/>
          <w:sz w:val="24"/>
          <w:szCs w:val="24"/>
          <w14:ligatures w14:val="none"/>
        </w:rPr>
        <w:t>. https://doi.org/10.1186/s12915-025-02166-2.</w:t>
      </w:r>
    </w:p>
    <w:p w14:paraId="1D37B07C"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Liu W, Li J, Verma CS, Lee HK. Systematic benchmarking of 13 AI methods for predicting cyclic peptide membrane permeability. Journal of Cheminformatics. </w:t>
      </w:r>
      <w:proofErr w:type="gramStart"/>
      <w:r w:rsidRPr="00851C66">
        <w:rPr>
          <w:rFonts w:ascii="Times New Roman" w:eastAsia="微软雅黑" w:hAnsi="Times New Roman" w:cs="Times New Roman"/>
          <w:sz w:val="24"/>
          <w:szCs w:val="24"/>
          <w14:ligatures w14:val="none"/>
        </w:rPr>
        <w:t>2025;17:129</w:t>
      </w:r>
      <w:proofErr w:type="gramEnd"/>
      <w:r w:rsidRPr="00851C66">
        <w:rPr>
          <w:rFonts w:ascii="Times New Roman" w:eastAsia="微软雅黑" w:hAnsi="Times New Roman" w:cs="Times New Roman"/>
          <w:sz w:val="24"/>
          <w:szCs w:val="24"/>
          <w14:ligatures w14:val="none"/>
        </w:rPr>
        <w:t>. https://doi.org/10.1186/s13321-025-01083-4.</w:t>
      </w:r>
    </w:p>
    <w:p w14:paraId="7C7A4302"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Sheridan RP. Time-split cross-validation as a method for estimating the goodness of prospective prediction. Journal of Chemical Information and Modeling. </w:t>
      </w:r>
      <w:proofErr w:type="gramStart"/>
      <w:r w:rsidRPr="00851C66">
        <w:rPr>
          <w:rFonts w:ascii="Times New Roman" w:eastAsia="微软雅黑" w:hAnsi="Times New Roman" w:cs="Times New Roman"/>
          <w:sz w:val="24"/>
          <w:szCs w:val="24"/>
          <w14:ligatures w14:val="none"/>
        </w:rPr>
        <w:t>2013;53:783</w:t>
      </w:r>
      <w:proofErr w:type="gramEnd"/>
      <w:r w:rsidRPr="00851C66">
        <w:rPr>
          <w:rFonts w:ascii="Times New Roman" w:eastAsia="微软雅黑" w:hAnsi="Times New Roman" w:cs="Times New Roman"/>
          <w:sz w:val="24"/>
          <w:szCs w:val="24"/>
          <w14:ligatures w14:val="none"/>
        </w:rPr>
        <w:t>-790. https://doi.org/10.1021/ci400084k.</w:t>
      </w:r>
    </w:p>
    <w:p w14:paraId="7969AC3E"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Hill TA, Lohman RJ, Hoang HN, Nielsen DS, Scully CCG, Kok WM, Liu L, Lucke AJ, Stoermer MJ, Schroeder CI, </w:t>
      </w:r>
      <w:proofErr w:type="spellStart"/>
      <w:r w:rsidRPr="00851C66">
        <w:rPr>
          <w:rFonts w:ascii="Times New Roman" w:eastAsia="微软雅黑" w:hAnsi="Times New Roman" w:cs="Times New Roman"/>
          <w:sz w:val="24"/>
          <w:szCs w:val="24"/>
          <w14:ligatures w14:val="none"/>
        </w:rPr>
        <w:t>Chaousis</w:t>
      </w:r>
      <w:proofErr w:type="spellEnd"/>
      <w:r w:rsidRPr="00851C66">
        <w:rPr>
          <w:rFonts w:ascii="Times New Roman" w:eastAsia="微软雅黑" w:hAnsi="Times New Roman" w:cs="Times New Roman"/>
          <w:sz w:val="24"/>
          <w:szCs w:val="24"/>
          <w14:ligatures w14:val="none"/>
        </w:rPr>
        <w:t xml:space="preserve"> S, </w:t>
      </w:r>
      <w:proofErr w:type="spellStart"/>
      <w:r w:rsidRPr="00851C66">
        <w:rPr>
          <w:rFonts w:ascii="Times New Roman" w:eastAsia="微软雅黑" w:hAnsi="Times New Roman" w:cs="Times New Roman"/>
          <w:sz w:val="24"/>
          <w:szCs w:val="24"/>
          <w14:ligatures w14:val="none"/>
        </w:rPr>
        <w:t>Colless</w:t>
      </w:r>
      <w:proofErr w:type="spellEnd"/>
      <w:r w:rsidRPr="00851C66">
        <w:rPr>
          <w:rFonts w:ascii="Times New Roman" w:eastAsia="微软雅黑" w:hAnsi="Times New Roman" w:cs="Times New Roman"/>
          <w:sz w:val="24"/>
          <w:szCs w:val="24"/>
          <w14:ligatures w14:val="none"/>
        </w:rPr>
        <w:t xml:space="preserve"> B, Bernhardt PV, Edmonds DJ, Griffith DA, Rotter CJ, Ruggeri RB, Price DA, Liras S, Craik DJ, Fairlie DP. Cyclic penta- and </w:t>
      </w:r>
      <w:proofErr w:type="spellStart"/>
      <w:r w:rsidRPr="00851C66">
        <w:rPr>
          <w:rFonts w:ascii="Times New Roman" w:eastAsia="微软雅黑" w:hAnsi="Times New Roman" w:cs="Times New Roman"/>
          <w:sz w:val="24"/>
          <w:szCs w:val="24"/>
          <w14:ligatures w14:val="none"/>
        </w:rPr>
        <w:t>hexaleucine</w:t>
      </w:r>
      <w:proofErr w:type="spellEnd"/>
      <w:r w:rsidRPr="00851C66">
        <w:rPr>
          <w:rFonts w:ascii="Times New Roman" w:eastAsia="微软雅黑" w:hAnsi="Times New Roman" w:cs="Times New Roman"/>
          <w:sz w:val="24"/>
          <w:szCs w:val="24"/>
          <w14:ligatures w14:val="none"/>
        </w:rPr>
        <w:t xml:space="preserve"> peptides without N-methylation are </w:t>
      </w:r>
      <w:r w:rsidRPr="00851C66">
        <w:rPr>
          <w:rFonts w:ascii="Times New Roman" w:eastAsia="微软雅黑" w:hAnsi="Times New Roman" w:cs="Times New Roman"/>
          <w:sz w:val="24"/>
          <w:szCs w:val="24"/>
          <w14:ligatures w14:val="none"/>
        </w:rPr>
        <w:lastRenderedPageBreak/>
        <w:t xml:space="preserve">orally absorbed. ACS Medicinal Chemistry Letters. </w:t>
      </w:r>
      <w:proofErr w:type="gramStart"/>
      <w:r w:rsidRPr="00851C66">
        <w:rPr>
          <w:rFonts w:ascii="Times New Roman" w:eastAsia="微软雅黑" w:hAnsi="Times New Roman" w:cs="Times New Roman"/>
          <w:sz w:val="24"/>
          <w:szCs w:val="24"/>
          <w14:ligatures w14:val="none"/>
        </w:rPr>
        <w:t>2014;5:1148</w:t>
      </w:r>
      <w:proofErr w:type="gramEnd"/>
      <w:r w:rsidRPr="00851C66">
        <w:rPr>
          <w:rFonts w:ascii="Times New Roman" w:eastAsia="微软雅黑" w:hAnsi="Times New Roman" w:cs="Times New Roman"/>
          <w:sz w:val="24"/>
          <w:szCs w:val="24"/>
          <w14:ligatures w14:val="none"/>
        </w:rPr>
        <w:t>-1151. https://doi.org/10.1021/ml5002823.</w:t>
      </w:r>
    </w:p>
    <w:p w14:paraId="6601C4ED"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Liras S, McClure KF. Permeability of cyclic peptide macrocycles and cyclotides and their potential as therapeutics. ACS Medicinal Chemistry Letters. </w:t>
      </w:r>
      <w:proofErr w:type="gramStart"/>
      <w:r w:rsidRPr="00851C66">
        <w:rPr>
          <w:rFonts w:ascii="Times New Roman" w:eastAsia="微软雅黑" w:hAnsi="Times New Roman" w:cs="Times New Roman"/>
          <w:sz w:val="24"/>
          <w:szCs w:val="24"/>
          <w14:ligatures w14:val="none"/>
        </w:rPr>
        <w:t>2019;10:1026</w:t>
      </w:r>
      <w:proofErr w:type="gramEnd"/>
      <w:r w:rsidRPr="00851C66">
        <w:rPr>
          <w:rFonts w:ascii="Times New Roman" w:eastAsia="微软雅黑" w:hAnsi="Times New Roman" w:cs="Times New Roman"/>
          <w:sz w:val="24"/>
          <w:szCs w:val="24"/>
          <w14:ligatures w14:val="none"/>
        </w:rPr>
        <w:t>-1032. https://doi.org/10.1021/acsmedchemlett.9b00149.</w:t>
      </w:r>
    </w:p>
    <w:p w14:paraId="6CECA26B"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Bhardwaj G, O'Connor J, Rettie S, Huang YH, </w:t>
      </w:r>
      <w:proofErr w:type="spellStart"/>
      <w:r w:rsidRPr="00851C66">
        <w:rPr>
          <w:rFonts w:ascii="Times New Roman" w:eastAsia="微软雅黑" w:hAnsi="Times New Roman" w:cs="Times New Roman"/>
          <w:sz w:val="24"/>
          <w:szCs w:val="24"/>
          <w14:ligatures w14:val="none"/>
        </w:rPr>
        <w:t>Ramelot</w:t>
      </w:r>
      <w:proofErr w:type="spellEnd"/>
      <w:r w:rsidRPr="00851C66">
        <w:rPr>
          <w:rFonts w:ascii="Times New Roman" w:eastAsia="微软雅黑" w:hAnsi="Times New Roman" w:cs="Times New Roman"/>
          <w:sz w:val="24"/>
          <w:szCs w:val="24"/>
          <w14:ligatures w14:val="none"/>
        </w:rPr>
        <w:t xml:space="preserve"> TA, Mulligan VK, </w:t>
      </w:r>
      <w:proofErr w:type="spellStart"/>
      <w:r w:rsidRPr="00851C66">
        <w:rPr>
          <w:rFonts w:ascii="Times New Roman" w:eastAsia="微软雅黑" w:hAnsi="Times New Roman" w:cs="Times New Roman"/>
          <w:sz w:val="24"/>
          <w:szCs w:val="24"/>
          <w14:ligatures w14:val="none"/>
        </w:rPr>
        <w:t>Alpkilic</w:t>
      </w:r>
      <w:proofErr w:type="spellEnd"/>
      <w:r w:rsidRPr="00851C66">
        <w:rPr>
          <w:rFonts w:ascii="Times New Roman" w:eastAsia="微软雅黑" w:hAnsi="Times New Roman" w:cs="Times New Roman"/>
          <w:sz w:val="24"/>
          <w:szCs w:val="24"/>
          <w14:ligatures w14:val="none"/>
        </w:rPr>
        <w:t xml:space="preserve"> GG, Palmer J, Bera AK, Bick MJ, Di Piazza M, Li X, Hosseinzadeh P, Craven TW, Tejero R, </w:t>
      </w:r>
      <w:proofErr w:type="spellStart"/>
      <w:r w:rsidRPr="00851C66">
        <w:rPr>
          <w:rFonts w:ascii="Times New Roman" w:eastAsia="微软雅黑" w:hAnsi="Times New Roman" w:cs="Times New Roman"/>
          <w:sz w:val="24"/>
          <w:szCs w:val="24"/>
          <w14:ligatures w14:val="none"/>
        </w:rPr>
        <w:t>Lauko</w:t>
      </w:r>
      <w:proofErr w:type="spellEnd"/>
      <w:r w:rsidRPr="00851C66">
        <w:rPr>
          <w:rFonts w:ascii="Times New Roman" w:eastAsia="微软雅黑" w:hAnsi="Times New Roman" w:cs="Times New Roman"/>
          <w:sz w:val="24"/>
          <w:szCs w:val="24"/>
          <w14:ligatures w14:val="none"/>
        </w:rPr>
        <w:t xml:space="preserve"> A, Choi R, Glynn C, Dong L, Griffin R, van Voorhis WC, Rodriguez J, Stewart L, Montelione GT, Craik D, Baker D. Accurate de novo design of membrane-traversing macrocycles. Cell. </w:t>
      </w:r>
      <w:proofErr w:type="gramStart"/>
      <w:r w:rsidRPr="00851C66">
        <w:rPr>
          <w:rFonts w:ascii="Times New Roman" w:eastAsia="微软雅黑" w:hAnsi="Times New Roman" w:cs="Times New Roman"/>
          <w:sz w:val="24"/>
          <w:szCs w:val="24"/>
          <w14:ligatures w14:val="none"/>
        </w:rPr>
        <w:t>2022;185:3520</w:t>
      </w:r>
      <w:proofErr w:type="gramEnd"/>
      <w:r w:rsidRPr="00851C66">
        <w:rPr>
          <w:rFonts w:ascii="Times New Roman" w:eastAsia="微软雅黑" w:hAnsi="Times New Roman" w:cs="Times New Roman"/>
          <w:sz w:val="24"/>
          <w:szCs w:val="24"/>
          <w14:ligatures w14:val="none"/>
        </w:rPr>
        <w:t>-3532.e26. https://doi.org/10.1016/j.cell.2022.07.019.</w:t>
      </w:r>
    </w:p>
    <w:p w14:paraId="4D1FD968"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Yu Y, Zhang Z, Guo H, Ren X, Zhang Y, Meng J, Zhou Y, Han J, Tian J, Yan W, Huang J. AI-driven de novo design of customizable membrane permeable cyclic peptides. Journal of Computer-Aided Molecular Design. </w:t>
      </w:r>
      <w:proofErr w:type="gramStart"/>
      <w:r w:rsidRPr="00851C66">
        <w:rPr>
          <w:rFonts w:ascii="Times New Roman" w:eastAsia="微软雅黑" w:hAnsi="Times New Roman" w:cs="Times New Roman"/>
          <w:sz w:val="24"/>
          <w:szCs w:val="24"/>
          <w14:ligatures w14:val="none"/>
        </w:rPr>
        <w:t>2025;39:63</w:t>
      </w:r>
      <w:proofErr w:type="gramEnd"/>
      <w:r w:rsidRPr="00851C66">
        <w:rPr>
          <w:rFonts w:ascii="Times New Roman" w:eastAsia="微软雅黑" w:hAnsi="Times New Roman" w:cs="Times New Roman"/>
          <w:sz w:val="24"/>
          <w:szCs w:val="24"/>
          <w14:ligatures w14:val="none"/>
        </w:rPr>
        <w:t>. https://doi.org/10.1007/s10822-025-00639-8.</w:t>
      </w:r>
    </w:p>
    <w:p w14:paraId="59E45268" w14:textId="77777777" w:rsidR="00851C66" w:rsidRPr="00851C66" w:rsidRDefault="00851C66" w:rsidP="00851C66">
      <w:pPr>
        <w:pStyle w:val="a9"/>
        <w:numPr>
          <w:ilvl w:val="0"/>
          <w:numId w:val="1"/>
        </w:numPr>
        <w:spacing w:before="100" w:beforeAutospacing="1" w:after="100" w:afterAutospacing="1" w:line="360" w:lineRule="auto"/>
        <w:ind w:firstLineChars="0"/>
        <w:contextualSpacing/>
        <w:rPr>
          <w:rFonts w:ascii="Times New Roman" w:eastAsia="微软雅黑" w:hAnsi="Times New Roman" w:cs="Times New Roman"/>
          <w:sz w:val="24"/>
          <w:szCs w:val="24"/>
          <w14:ligatures w14:val="none"/>
        </w:rPr>
      </w:pPr>
      <w:r w:rsidRPr="00851C66">
        <w:rPr>
          <w:rFonts w:ascii="Times New Roman" w:eastAsia="微软雅黑" w:hAnsi="Times New Roman" w:cs="Times New Roman"/>
          <w:sz w:val="24"/>
          <w:szCs w:val="24"/>
          <w14:ligatures w14:val="none"/>
        </w:rPr>
        <w:t xml:space="preserve">Aerts R, Tavernier J, </w:t>
      </w:r>
      <w:proofErr w:type="spellStart"/>
      <w:r w:rsidRPr="00851C66">
        <w:rPr>
          <w:rFonts w:ascii="Times New Roman" w:eastAsia="微软雅黑" w:hAnsi="Times New Roman" w:cs="Times New Roman"/>
          <w:sz w:val="24"/>
          <w:szCs w:val="24"/>
          <w14:ligatures w14:val="none"/>
        </w:rPr>
        <w:t>Kerstjens</w:t>
      </w:r>
      <w:proofErr w:type="spellEnd"/>
      <w:r w:rsidRPr="00851C66">
        <w:rPr>
          <w:rFonts w:ascii="Times New Roman" w:eastAsia="微软雅黑" w:hAnsi="Times New Roman" w:cs="Times New Roman"/>
          <w:sz w:val="24"/>
          <w:szCs w:val="24"/>
          <w14:ligatures w14:val="none"/>
        </w:rPr>
        <w:t xml:space="preserve"> A, Ahmad M, Gómez-Tamayo JC, </w:t>
      </w:r>
      <w:proofErr w:type="spellStart"/>
      <w:r w:rsidRPr="00851C66">
        <w:rPr>
          <w:rFonts w:ascii="Times New Roman" w:eastAsia="微软雅黑" w:hAnsi="Times New Roman" w:cs="Times New Roman"/>
          <w:sz w:val="24"/>
          <w:szCs w:val="24"/>
          <w14:ligatures w14:val="none"/>
        </w:rPr>
        <w:t>Tresadern</w:t>
      </w:r>
      <w:proofErr w:type="spellEnd"/>
      <w:r w:rsidRPr="00851C66">
        <w:rPr>
          <w:rFonts w:ascii="Times New Roman" w:eastAsia="微软雅黑" w:hAnsi="Times New Roman" w:cs="Times New Roman"/>
          <w:sz w:val="24"/>
          <w:szCs w:val="24"/>
          <w14:ligatures w14:val="none"/>
        </w:rPr>
        <w:t xml:space="preserve"> G, De Winter H. C2PO: an ML-powered optimizer of the membrane permeability of cyclic peptides through chemical modification. Journal of Cheminformatics. </w:t>
      </w:r>
      <w:proofErr w:type="gramStart"/>
      <w:r w:rsidRPr="00851C66">
        <w:rPr>
          <w:rFonts w:ascii="Times New Roman" w:eastAsia="微软雅黑" w:hAnsi="Times New Roman" w:cs="Times New Roman"/>
          <w:sz w:val="24"/>
          <w:szCs w:val="24"/>
          <w14:ligatures w14:val="none"/>
        </w:rPr>
        <w:t>2025;17:168</w:t>
      </w:r>
      <w:proofErr w:type="gramEnd"/>
      <w:r w:rsidRPr="00851C66">
        <w:rPr>
          <w:rFonts w:ascii="Times New Roman" w:eastAsia="微软雅黑" w:hAnsi="Times New Roman" w:cs="Times New Roman"/>
          <w:sz w:val="24"/>
          <w:szCs w:val="24"/>
          <w14:ligatures w14:val="none"/>
        </w:rPr>
        <w:t>. https://doi.org/10.1186/s13321-025-01109-x.</w:t>
      </w:r>
    </w:p>
    <w:p w14:paraId="0A3D65E7" w14:textId="77777777" w:rsidR="00851C66" w:rsidRDefault="00851C66" w:rsidP="004F451E">
      <w:pPr>
        <w:spacing w:after="0" w:line="360" w:lineRule="auto"/>
        <w:jc w:val="both"/>
        <w:rPr>
          <w:rFonts w:ascii="Times New Roman" w:hAnsi="Times New Roman" w:cs="Times New Roman" w:hint="eastAsia"/>
          <w:sz w:val="24"/>
          <w:szCs w:val="24"/>
        </w:rPr>
      </w:pPr>
    </w:p>
    <w:p w14:paraId="1C2DDF26" w14:textId="77777777" w:rsidR="00851C66" w:rsidRPr="004F451E" w:rsidRDefault="00851C66" w:rsidP="004F451E">
      <w:pPr>
        <w:spacing w:after="0" w:line="360" w:lineRule="auto"/>
        <w:jc w:val="both"/>
        <w:rPr>
          <w:rFonts w:ascii="Times New Roman" w:hAnsi="Times New Roman" w:cs="Times New Roman" w:hint="eastAsia"/>
          <w:sz w:val="24"/>
          <w:szCs w:val="24"/>
        </w:rPr>
      </w:pPr>
    </w:p>
    <w:p w14:paraId="632990A7"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t>List of Abbreviations</w:t>
      </w:r>
    </w:p>
    <w:p w14:paraId="4C9F31B5" w14:textId="77777777" w:rsidR="007634CA" w:rsidRDefault="00000000" w:rsidP="004F451E">
      <w:pPr>
        <w:spacing w:after="0" w:line="360" w:lineRule="auto"/>
        <w:jc w:val="both"/>
        <w:rPr>
          <w:rFonts w:ascii="Times New Roman" w:hAnsi="Times New Roman" w:cs="Times New Roman"/>
          <w:sz w:val="24"/>
          <w:szCs w:val="24"/>
        </w:rPr>
      </w:pPr>
      <w:r w:rsidRPr="004F451E">
        <w:rPr>
          <w:rFonts w:ascii="Times New Roman" w:hAnsi="Times New Roman" w:cs="Times New Roman"/>
          <w:sz w:val="24"/>
          <w:szCs w:val="24"/>
        </w:rPr>
        <w:t xml:space="preserve">AUROC: area under the receiver operating characteristic curve; ECE: expected calibration error; HELM: hierarchical editing language for macromolecules; LOSO: leave-one-source-out; MCC: </w:t>
      </w:r>
      <w:proofErr w:type="gramStart"/>
      <w:r w:rsidRPr="004F451E">
        <w:rPr>
          <w:rFonts w:ascii="Times New Roman" w:hAnsi="Times New Roman" w:cs="Times New Roman"/>
          <w:sz w:val="24"/>
          <w:szCs w:val="24"/>
        </w:rPr>
        <w:t>Matthews</w:t>
      </w:r>
      <w:proofErr w:type="gramEnd"/>
      <w:r w:rsidRPr="004F451E">
        <w:rPr>
          <w:rFonts w:ascii="Times New Roman" w:hAnsi="Times New Roman" w:cs="Times New Roman"/>
          <w:sz w:val="24"/>
          <w:szCs w:val="24"/>
        </w:rPr>
        <w:t xml:space="preserve"> correlation coefficient; RF: Random Forest; TPSA: topological polar surface area.</w:t>
      </w:r>
    </w:p>
    <w:p w14:paraId="3829B0BD" w14:textId="77777777" w:rsidR="004F451E" w:rsidRPr="004F451E" w:rsidRDefault="004F451E" w:rsidP="004F451E">
      <w:pPr>
        <w:spacing w:after="0" w:line="360" w:lineRule="auto"/>
        <w:jc w:val="both"/>
        <w:rPr>
          <w:rFonts w:ascii="Times New Roman" w:hAnsi="Times New Roman" w:cs="Times New Roman"/>
          <w:sz w:val="24"/>
          <w:szCs w:val="24"/>
        </w:rPr>
      </w:pPr>
    </w:p>
    <w:p w14:paraId="1242BAD5" w14:textId="77777777" w:rsidR="007634CA" w:rsidRPr="00B3765B" w:rsidRDefault="00000000" w:rsidP="00B3765B">
      <w:pPr>
        <w:pStyle w:val="1"/>
        <w:jc w:val="both"/>
        <w:rPr>
          <w:rFonts w:ascii="Times New Roman" w:hAnsi="Times New Roman" w:cs="Times New Roman"/>
        </w:rPr>
      </w:pPr>
      <w:r w:rsidRPr="00B3765B">
        <w:rPr>
          <w:rFonts w:ascii="Times New Roman" w:hAnsi="Times New Roman" w:cs="Times New Roman"/>
        </w:rPr>
        <w:lastRenderedPageBreak/>
        <w:t>Statements and Declarations</w:t>
      </w:r>
    </w:p>
    <w:p w14:paraId="25063B32" w14:textId="77777777" w:rsidR="007634CA" w:rsidRPr="00B3765B" w:rsidRDefault="00000000" w:rsidP="00B3765B">
      <w:pPr>
        <w:pStyle w:val="2"/>
        <w:jc w:val="both"/>
        <w:rPr>
          <w:rFonts w:ascii="Times New Roman" w:hAnsi="Times New Roman" w:cs="Times New Roman"/>
        </w:rPr>
      </w:pPr>
      <w:r w:rsidRPr="00B3765B">
        <w:rPr>
          <w:rFonts w:ascii="Times New Roman" w:hAnsi="Times New Roman" w:cs="Times New Roman"/>
        </w:rPr>
        <w:t>Availability of Data and Materials</w:t>
      </w:r>
    </w:p>
    <w:p w14:paraId="7B19C161"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rPr>
        <w:t>All data and scripts used to generate this manuscript are contained in the accompanying project directory. The reconstructed dataset is stored at dataset/CycPeptMPDB_Peptide_Length_6.csv. Prediction, design, ablation, heterogeneity, novelty, and figure-generation scripts are stored in the main directory. Result tables and figures are stored under the Result directory. Code and processed data will be made available at: [GitHub repository URL to be inserted before submission]. The repository should include a README, environment file, license, and commands required to reproduce the tables and figures.</w:t>
      </w:r>
    </w:p>
    <w:p w14:paraId="261CACBD" w14:textId="77777777" w:rsidR="007634CA" w:rsidRPr="00B3765B" w:rsidRDefault="00000000" w:rsidP="00B3765B">
      <w:pPr>
        <w:pStyle w:val="2"/>
        <w:jc w:val="both"/>
        <w:rPr>
          <w:rFonts w:ascii="Times New Roman" w:hAnsi="Times New Roman" w:cs="Times New Roman"/>
        </w:rPr>
      </w:pPr>
      <w:r w:rsidRPr="00B3765B">
        <w:rPr>
          <w:rFonts w:ascii="Times New Roman" w:hAnsi="Times New Roman" w:cs="Times New Roman"/>
        </w:rPr>
        <w:t>Competing Interests</w:t>
      </w:r>
    </w:p>
    <w:p w14:paraId="351B83EF"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rPr>
        <w:t>The authors declare that they have no relevant financial or non-financial interests to disclose.</w:t>
      </w:r>
    </w:p>
    <w:p w14:paraId="7BA14748" w14:textId="77777777" w:rsidR="007634CA" w:rsidRPr="00B3765B" w:rsidRDefault="00000000" w:rsidP="00B3765B">
      <w:pPr>
        <w:pStyle w:val="2"/>
        <w:jc w:val="both"/>
        <w:rPr>
          <w:rFonts w:ascii="Times New Roman" w:hAnsi="Times New Roman" w:cs="Times New Roman"/>
        </w:rPr>
      </w:pPr>
      <w:r w:rsidRPr="00B3765B">
        <w:rPr>
          <w:rFonts w:ascii="Times New Roman" w:hAnsi="Times New Roman" w:cs="Times New Roman"/>
        </w:rPr>
        <w:t>Funding</w:t>
      </w:r>
    </w:p>
    <w:p w14:paraId="75387EBA"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rPr>
        <w:t>This work was supported by the Liaoning Province Nature Fund Project (No. 2022-MS-291); the National Foreign Expert Project Plan (G2022006008L); and the Scientific Research Project of Liaoning Province Education Department (LJKMZ20220781, LJKMZ20220783).</w:t>
      </w:r>
    </w:p>
    <w:p w14:paraId="1362A33A" w14:textId="77777777" w:rsidR="007634CA" w:rsidRPr="00B3765B" w:rsidRDefault="00000000" w:rsidP="00B3765B">
      <w:pPr>
        <w:pStyle w:val="2"/>
        <w:jc w:val="both"/>
        <w:rPr>
          <w:rFonts w:ascii="Times New Roman" w:hAnsi="Times New Roman" w:cs="Times New Roman"/>
        </w:rPr>
      </w:pPr>
      <w:r w:rsidRPr="00B3765B">
        <w:rPr>
          <w:rFonts w:ascii="Times New Roman" w:hAnsi="Times New Roman" w:cs="Times New Roman"/>
        </w:rPr>
        <w:t>Authors' Contributions</w:t>
      </w:r>
    </w:p>
    <w:p w14:paraId="4A1CB313" w14:textId="77777777" w:rsidR="007634CA" w:rsidRPr="00B3765B" w:rsidRDefault="00000000" w:rsidP="00B3765B">
      <w:pPr>
        <w:jc w:val="both"/>
        <w:rPr>
          <w:rFonts w:ascii="Times New Roman" w:hAnsi="Times New Roman" w:cs="Times New Roman"/>
        </w:rPr>
      </w:pPr>
      <w:proofErr w:type="spellStart"/>
      <w:r w:rsidRPr="00B3765B">
        <w:rPr>
          <w:rFonts w:ascii="Times New Roman" w:hAnsi="Times New Roman" w:cs="Times New Roman"/>
        </w:rPr>
        <w:t>Yuxing</w:t>
      </w:r>
      <w:proofErr w:type="spellEnd"/>
      <w:r w:rsidRPr="00B3765B">
        <w:rPr>
          <w:rFonts w:ascii="Times New Roman" w:hAnsi="Times New Roman" w:cs="Times New Roman"/>
        </w:rPr>
        <w:t xml:space="preserve"> Shen conceived and supervised the study. </w:t>
      </w:r>
      <w:proofErr w:type="spellStart"/>
      <w:r w:rsidRPr="00B3765B">
        <w:rPr>
          <w:rFonts w:ascii="Times New Roman" w:hAnsi="Times New Roman" w:cs="Times New Roman"/>
        </w:rPr>
        <w:t>Shiqian</w:t>
      </w:r>
      <w:proofErr w:type="spellEnd"/>
      <w:r w:rsidRPr="00B3765B">
        <w:rPr>
          <w:rFonts w:ascii="Times New Roman" w:hAnsi="Times New Roman" w:cs="Times New Roman"/>
        </w:rPr>
        <w:t xml:space="preserve"> Han performed data curation, model implementation, computational experiments, result analysis, and manuscript drafting. Honghui An contributed to workflow implementation, validation, and figure/table preparation. Jun Wang contributed to project supervision, interpretation of results, and manuscript revision. All authors read and approved the final manuscript.</w:t>
      </w:r>
    </w:p>
    <w:p w14:paraId="4A0EB2EC" w14:textId="77777777" w:rsidR="007634CA" w:rsidRPr="00B3765B" w:rsidRDefault="00000000" w:rsidP="00B3765B">
      <w:pPr>
        <w:pStyle w:val="2"/>
        <w:jc w:val="both"/>
        <w:rPr>
          <w:rFonts w:ascii="Times New Roman" w:hAnsi="Times New Roman" w:cs="Times New Roman"/>
        </w:rPr>
      </w:pPr>
      <w:r w:rsidRPr="00B3765B">
        <w:rPr>
          <w:rFonts w:ascii="Times New Roman" w:hAnsi="Times New Roman" w:cs="Times New Roman"/>
        </w:rPr>
        <w:t>Acknowledgements</w:t>
      </w:r>
    </w:p>
    <w:p w14:paraId="30F2EB77" w14:textId="77777777" w:rsidR="007634CA" w:rsidRPr="00B3765B" w:rsidRDefault="00000000" w:rsidP="00B3765B">
      <w:pPr>
        <w:jc w:val="both"/>
        <w:rPr>
          <w:rFonts w:ascii="Times New Roman" w:hAnsi="Times New Roman" w:cs="Times New Roman"/>
        </w:rPr>
      </w:pPr>
      <w:r w:rsidRPr="00B3765B">
        <w:rPr>
          <w:rFonts w:ascii="Times New Roman" w:hAnsi="Times New Roman" w:cs="Times New Roman"/>
        </w:rPr>
        <w:t>The authors thank Shenyang University of Chemical Technology for research support.</w:t>
      </w:r>
    </w:p>
    <w:sectPr w:rsidR="007634CA" w:rsidRPr="00B3765B">
      <w:footerReference w:type="default" r:id="rI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2A8A" w14:textId="77777777" w:rsidR="00351DCF" w:rsidRDefault="00351DCF">
      <w:pPr>
        <w:spacing w:after="0" w:line="240" w:lineRule="auto"/>
        <w:rPr>
          <w:rFonts w:hint="eastAsia"/>
        </w:rPr>
      </w:pPr>
      <w:r>
        <w:separator/>
      </w:r>
    </w:p>
  </w:endnote>
  <w:endnote w:type="continuationSeparator" w:id="0">
    <w:p w14:paraId="17750F8B" w14:textId="77777777" w:rsidR="00351DCF" w:rsidRDefault="00351D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468789"/>
      <w:docPartObj>
        <w:docPartGallery w:val="Page Numbers (Bottom of Page)"/>
        <w:docPartUnique/>
      </w:docPartObj>
    </w:sdtPr>
    <w:sdtContent>
      <w:p w14:paraId="632FDAC4" w14:textId="77777777" w:rsidR="00000000" w:rsidRDefault="00000000">
        <w:pPr>
          <w:jc w:val="center"/>
          <w:rPr>
            <w:rFonts w:hint="eastAsia"/>
          </w:rPr>
        </w:pPr>
        <w:r>
          <w:fldChar w:fldCharType="begin"/>
        </w:r>
        <w:r>
          <w:instrText>PAGE   \* MERGEFORMAT</w:instrText>
        </w:r>
        <w:r>
          <w:fldChar w:fldCharType="separate"/>
        </w:r>
        <w:r>
          <w:rPr>
            <w:lang w:val="zh-CN"/>
          </w:rPr>
          <w:t>2</w:t>
        </w:r>
        <w:r>
          <w:fldChar w:fldCharType="end"/>
        </w:r>
      </w:p>
    </w:sdtContent>
  </w:sdt>
  <w:p w14:paraId="3DE86C64" w14:textId="77777777" w:rsidR="00000000" w:rsidRDefault="0000000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F7F4" w14:textId="77777777" w:rsidR="00351DCF" w:rsidRDefault="00351DCF">
      <w:pPr>
        <w:spacing w:after="0" w:line="240" w:lineRule="auto"/>
        <w:rPr>
          <w:rFonts w:hint="eastAsia"/>
        </w:rPr>
      </w:pPr>
      <w:r>
        <w:separator/>
      </w:r>
    </w:p>
  </w:footnote>
  <w:footnote w:type="continuationSeparator" w:id="0">
    <w:p w14:paraId="7F331D10" w14:textId="77777777" w:rsidR="00351DCF" w:rsidRDefault="00351DC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233FB"/>
    <w:multiLevelType w:val="hybridMultilevel"/>
    <w:tmpl w:val="CD6EAEEC"/>
    <w:lvl w:ilvl="0" w:tplc="0652C8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537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634CA"/>
    <w:rsid w:val="00351DCF"/>
    <w:rsid w:val="004F451E"/>
    <w:rsid w:val="0056629A"/>
    <w:rsid w:val="007634CA"/>
    <w:rsid w:val="00851C66"/>
    <w:rsid w:val="008B4F9E"/>
    <w:rsid w:val="00B3765B"/>
    <w:rsid w:val="00C6730C"/>
    <w:rsid w:val="00D35690"/>
    <w:rsid w:val="00D82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44453"/>
  <w15:docId w15:val="{1C53101B-729F-423B-8E00-61A65F48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Cs w:val="22"/>
    </w:rPr>
  </w:style>
  <w:style w:type="paragraph" w:styleId="1">
    <w:name w:val="heading 1"/>
    <w:basedOn w:val="a"/>
    <w:uiPriority w:val="9"/>
    <w:qFormat/>
    <w:pPr>
      <w:outlineLvl w:val="0"/>
    </w:pPr>
    <w:rPr>
      <w:b/>
      <w:sz w:val="28"/>
      <w:szCs w:val="28"/>
    </w:rPr>
  </w:style>
  <w:style w:type="paragraph" w:styleId="2">
    <w:name w:val="heading 2"/>
    <w:basedOn w:val="a"/>
    <w:uiPriority w:val="9"/>
    <w:unhideWhenUsed/>
    <w:qFormat/>
    <w:pPr>
      <w:outlineLvl w:val="1"/>
    </w:pPr>
    <w:rPr>
      <w:b/>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765B"/>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3765B"/>
    <w:rPr>
      <w:sz w:val="18"/>
      <w:szCs w:val="18"/>
    </w:rPr>
  </w:style>
  <w:style w:type="paragraph" w:styleId="a5">
    <w:name w:val="footer"/>
    <w:basedOn w:val="a"/>
    <w:link w:val="a6"/>
    <w:uiPriority w:val="99"/>
    <w:unhideWhenUsed/>
    <w:rsid w:val="00B3765B"/>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B3765B"/>
    <w:rPr>
      <w:sz w:val="18"/>
      <w:szCs w:val="18"/>
    </w:rPr>
  </w:style>
  <w:style w:type="character" w:styleId="a7">
    <w:name w:val="Hyperlink"/>
    <w:basedOn w:val="a0"/>
    <w:uiPriority w:val="99"/>
    <w:unhideWhenUsed/>
    <w:rsid w:val="00851C66"/>
    <w:rPr>
      <w:color w:val="0563C1" w:themeColor="hyperlink"/>
      <w:u w:val="single"/>
    </w:rPr>
  </w:style>
  <w:style w:type="character" w:styleId="a8">
    <w:name w:val="Unresolved Mention"/>
    <w:basedOn w:val="a0"/>
    <w:uiPriority w:val="99"/>
    <w:semiHidden/>
    <w:unhideWhenUsed/>
    <w:rsid w:val="00851C66"/>
    <w:rPr>
      <w:color w:val="605E5C"/>
      <w:shd w:val="clear" w:color="auto" w:fill="E1DFDD"/>
    </w:rPr>
  </w:style>
  <w:style w:type="paragraph" w:styleId="a9">
    <w:name w:val="List Paragraph"/>
    <w:basedOn w:val="a"/>
    <w:uiPriority w:val="34"/>
    <w:qFormat/>
    <w:rsid w:val="00851C6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3.png"/><Relationship Id="rId50"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4.png"/><Relationship Id="rId8" Type="http://schemas.openxmlformats.org/officeDocument/2006/relationships/image" Target="media/image2.wmf"/><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2.png"/><Relationship Id="rId20" Type="http://schemas.openxmlformats.org/officeDocument/2006/relationships/image" Target="media/image8.wmf"/><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26</Pages>
  <Words>5988</Words>
  <Characters>34138</Characters>
  <Application>Microsoft Office Word</Application>
  <DocSecurity>0</DocSecurity>
  <Lines>284</Lines>
  <Paragraphs>80</Paragraphs>
  <ScaleCrop>false</ScaleCrop>
  <Company/>
  <LinksUpToDate>false</LinksUpToDate>
  <CharactersWithSpaces>40046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宇星</cp:lastModifiedBy>
  <cp:revision>2</cp:revision>
  <dcterms:created xsi:type="dcterms:W3CDTF">2026-05-08T09:21:00Z</dcterms:created>
  <dcterms:modified xsi:type="dcterms:W3CDTF">2026-05-08T10:27:00Z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