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B5797"/>
          <w:sz w:val="40"/>
          <w:szCs w:val="40"/>
        </w:rPr>
        <w:t xml:space="preserve">Multi-Task Classification</w:t>
      </w:r>
    </w:p>
    <w:p>
      <w:pPr>
        <w:spacing w:after="80"/>
        <w:jc w:val="center"/>
      </w:pPr>
      <w:r>
        <w:rPr>
          <w:rFonts w:ascii="Arial" w:cs="Arial" w:eastAsia="Arial" w:hAnsi="Arial"/>
          <w:b/>
          <w:bCs/>
          <w:color w:val="2B5797"/>
          <w:sz w:val="40"/>
          <w:szCs w:val="40"/>
        </w:rPr>
        <w:t xml:space="preserve">Model Comparison &amp; Analysis Report</w:t>
      </w:r>
    </w:p>
    <w:p>
      <w:pPr>
        <w:spacing w:after="120"/>
        <w:jc w:val="center"/>
      </w:pPr>
      <w:r>
        <w:rPr>
          <w:color w:val="666666"/>
          <w:sz w:val="22"/>
          <w:szCs w:val="22"/>
        </w:rPr>
        <w:t xml:space="preserve">Support Intelligence System — After LLM Label Distillation</w:t>
      </w:r>
    </w:p>
    <w:p>
      <w:pPr>
        <w:pBdr>
          <w:bottom w:val="single" w:color="2B5797" w:sz="6" w:space="1"/>
        </w:pBdr>
        <w:spacing w:after="400"/>
        <w:jc w:val="center"/>
      </w:pPr>
      <w:r>
        <w:rPr>
          <w:color w:val="666666"/>
          <w:sz w:val="22"/>
          <w:szCs w:val="22"/>
        </w:rPr>
        <w:t xml:space="preserve">March 2026</w:t>
      </w:r>
    </w:p>
    <w:p>
      <w:pPr>
        <w:pStyle w:val="Heading1"/>
      </w:pPr>
      <w:r>
        <w:t xml:space="preserve">1. Executive Summary</w:t>
      </w:r>
    </w:p>
    <w:p>
      <w:pPr>
        <w:spacing w:after="200"/>
      </w:pPr>
      <w:r>
        <w:rPr>
          <w:rFonts w:ascii="Arial" w:cs="Arial" w:eastAsia="Arial" w:hAnsi="Arial"/>
          <w:sz w:val="22"/>
          <w:szCs w:val="22"/>
        </w:rPr>
        <w:t xml:space="preserve">We trained two model families — CatBoost (gradient-boosted trees) and ModernBERT+LoRA (transformer with low-rank adapters) — on 100K synthetic support tickets across four prediction tasks: category, subcategory, priority, and sentiment. The synthetic data had randomly assigned labels, so we first corrected the labels using Qwen2.5-72B running locally via vLLM, then retrained both models.</w:t>
      </w:r>
    </w:p>
    <w:p>
      <w:pPr>
        <w:spacing w:after="200"/>
      </w:pPr>
      <w:r>
        <w:rPr>
          <w:rFonts w:ascii="Arial" w:cs="Arial" w:eastAsia="Arial" w:hAnsi="Arial"/>
          <w:sz w:val="22"/>
          <w:szCs w:val="22"/>
        </w:rPr>
        <w:t xml:space="preserve">CatBoost is the decisive winner across all metrics. After label correction, subcategory F1 improved from 0.20 to 0.71 (+256%), priority from 0.48 to 0.84 (+73%), and sentiment from 0.16 to 0.46 (+178%). ModernBERT+LoRA showed no meaningful improvement on any task. Feature importance analysis reveals that CatBoost’s success is driven by structured metadata features, not text embeddings — confirming that the right model depends on the data, not the architecture.</w:t>
      </w:r>
    </w:p>
    <w:p>
      <w:pPr>
        <w:pStyle w:val="Heading1"/>
      </w:pPr>
      <w:r>
        <w:t xml:space="preserve">2. LLM Label Distillation</w:t>
      </w:r>
    </w:p>
    <w:p>
      <w:pPr>
        <w:spacing w:after="200"/>
      </w:pPr>
      <w:r>
        <w:rPr>
          <w:rFonts w:ascii="Arial" w:cs="Arial" w:eastAsia="Arial" w:hAnsi="Arial"/>
          <w:sz w:val="22"/>
          <w:szCs w:val="22"/>
        </w:rPr>
        <w:t xml:space="preserve">The original synthetic data generator assigned subcategory, priority, and sentiment labels essentially at random. Within a single category, all subcategories shared identical text templates (“License upgrade needed for {product}” for all 5 Account Management subcategories), and sentiment labels like “satisfied” appeared on tickets complaining about poor performance.</w:t>
      </w:r>
    </w:p>
    <w:p>
      <w:pPr>
        <w:spacing w:after="200"/>
      </w:pPr>
      <w:r>
        <w:rPr>
          <w:rFonts w:ascii="Arial" w:cs="Arial" w:eastAsia="Arial" w:hAnsi="Arial"/>
          <w:sz w:val="22"/>
          <w:szCs w:val="22"/>
        </w:rPr>
        <w:t xml:space="preserve">We corrected labels using Qwen2.5-72B-Instruct-AWQ running locally via vLLM on the NVIDIA DGX Spark (128GB unified memory, Blackwell GPU). The model reviewed each ticket’s full context — subject, description, error logs, resolution text, customer feedback, escalation status, affected users, business impact, and tags — and assigned corrected subcategory, priority, and sentiment labels. The correction script used async concurrency (32 parallel requests) to saturate vLLM’s continuous batching, processing 100K tickets in approximately 6 hours. Category labels were not corrected, as they already achieved F1=1.0.</w:t>
      </w:r>
    </w:p>
    <w:p>
      <w:pPr>
        <w:pStyle w:val="Heading1"/>
      </w:pPr>
      <w:r>
        <w:t xml:space="preserve">3. Results</w:t>
      </w:r>
    </w:p>
    <w:p>
      <w:pPr>
        <w:pStyle w:val="Heading2"/>
      </w:pPr>
      <w:r>
        <w:t xml:space="preserve">3.1 CatBoost: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400"/>
        <w:gridCol w:w="3360"/>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3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Before F1</w:t>
            </w:r>
          </w:p>
        </w:tc>
        <w:tc>
          <w:tcPr>
            <w:tcW w:type="dxa" w:w="13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After F1</w:t>
            </w:r>
          </w:p>
        </w:tc>
        <w:tc>
          <w:tcPr>
            <w:tcW w:type="dxa" w:w="1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3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Category (5 cls)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Trivially solvable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Subcategory (28 cls)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0.7103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7A1A"/>
                <w:sz w:val="20"/>
                <w:szCs w:val="20"/>
              </w:rPr>
              <w:t xml:space="preserve">+257%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Strong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Priority (4 cls)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0.4843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0.8384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7A1A"/>
                <w:sz w:val="20"/>
                <w:szCs w:val="20"/>
              </w:rPr>
              <w:t xml:space="preserve">+73%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Strong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Sentiment (6 cls)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0.1624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0.4625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7A1A"/>
                <w:sz w:val="20"/>
                <w:szCs w:val="20"/>
              </w:rPr>
              <w:t xml:space="preserve">+185%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Moderate</w:t>
            </w:r>
          </w:p>
        </w:tc>
      </w:tr>
    </w:tbl>
    <w:p>
      <w:pPr>
        <w:spacing w:after="300"/>
      </w:pPr>
      <w:r>
        <w:rPr>
          <w:rFonts w:ascii="Arial" w:cs="Arial" w:eastAsia="Arial" w:hAnsi="Arial"/>
          <w:sz w:val="22"/>
          <w:szCs w:val="22"/>
        </w:rPr>
        <w:t xml:space="preserve">Training time: ~3 hours (embedding ~5 min + 4×20 Optuna trials). Inference: 13 ms for all 4 tasks on CPU.</w:t>
      </w:r>
    </w:p>
    <w:p>
      <w:pPr>
        <w:pStyle w:val="Heading2"/>
      </w:pPr>
      <w:r>
        <w:t xml:space="preserve">3.2 ModernBERT + LoRA: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400"/>
        <w:gridCol w:w="3360"/>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3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Before F1</w:t>
            </w:r>
          </w:p>
        </w:tc>
        <w:tc>
          <w:tcPr>
            <w:tcW w:type="dxa" w:w="13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After F1</w:t>
            </w:r>
          </w:p>
        </w:tc>
        <w:tc>
          <w:tcPr>
            <w:tcW w:type="dxa" w:w="1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3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Category (5 cls)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Trivially solvable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Subcategory (28 cls)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C0000"/>
                <w:sz w:val="20"/>
                <w:szCs w:val="20"/>
              </w:rPr>
              <w:t xml:space="preserve">0.1754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C0000"/>
                <w:sz w:val="20"/>
                <w:szCs w:val="20"/>
              </w:rPr>
              <w:t xml:space="preserve">No change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Failed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Priority (4 cls)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C0000"/>
                <w:sz w:val="20"/>
                <w:szCs w:val="20"/>
              </w:rPr>
              <w:t xml:space="preserve">0.2257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C0000"/>
                <w:sz w:val="20"/>
                <w:szCs w:val="20"/>
              </w:rPr>
              <w:t xml:space="preserve">Worse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Failed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Sentiment (6 cls)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C0000"/>
                <w:sz w:val="20"/>
                <w:szCs w:val="20"/>
              </w:rPr>
              <w:t xml:space="preserve">0.1691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C0000"/>
                <w:sz w:val="20"/>
                <w:szCs w:val="20"/>
              </w:rPr>
              <w:t xml:space="preserve">No change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Failed</w:t>
            </w:r>
          </w:p>
        </w:tc>
      </w:tr>
    </w:tbl>
    <w:p>
      <w:pPr>
        <w:spacing w:after="300"/>
      </w:pPr>
      <w:r>
        <w:rPr>
          <w:rFonts w:ascii="Arial" w:cs="Arial" w:eastAsia="Arial" w:hAnsi="Arial"/>
          <w:sz w:val="22"/>
          <w:szCs w:val="22"/>
        </w:rPr>
        <w:t xml:space="preserve">Training time: ~5 hours (8 epochs × 2407 batches, early stop at epoch 5). Inference: 18 ms on GPU.</w:t>
      </w:r>
    </w:p>
    <w:p>
      <w:pPr>
        <w:pStyle w:val="Heading2"/>
      </w:pPr>
      <w:r>
        <w:t xml:space="preserve">3.3 Head-to-Head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CatBoost</w:t>
            </w:r>
          </w:p>
        </w:tc>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ModernBERT+LoRA</w:t>
            </w:r>
          </w:p>
        </w:tc>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Winner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Category F1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Tie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Subcategory F1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0.7103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0.1754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7A1A"/>
                <w:sz w:val="20"/>
                <w:szCs w:val="20"/>
              </w:rPr>
              <w:t xml:space="preserve">CatBoost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Priority F1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0.8384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0.2257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7A1A"/>
                <w:sz w:val="20"/>
                <w:szCs w:val="20"/>
              </w:rPr>
              <w:t xml:space="preserve">CatBoost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Sentiment F1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0.4625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0.1691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7A1A"/>
                <w:sz w:val="20"/>
                <w:szCs w:val="20"/>
              </w:rPr>
              <w:t xml:space="preserve">CatBoost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Inference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13 ms (CPU)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18 ms (GPU)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7A1A"/>
                <w:sz w:val="20"/>
                <w:szCs w:val="20"/>
              </w:rPr>
              <w:t xml:space="preserve">CatBoost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Training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7A1A"/>
                <w:sz w:val="20"/>
                <w:szCs w:val="20"/>
              </w:rPr>
              <w:t xml:space="preserve">CatBoost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GPU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7A1A"/>
                <w:sz w:val="20"/>
                <w:szCs w:val="20"/>
              </w:rPr>
              <w:t xml:space="preserve">CatBoost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Interpretability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SHAP + feature imp.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Limited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7A1A"/>
                <w:sz w:val="20"/>
                <w:szCs w:val="20"/>
              </w:rPr>
              <w:t xml:space="preserve">CatBoost</w:t>
            </w:r>
          </w:p>
        </w:tc>
      </w:tr>
    </w:tbl>
    <w:p>
      <w:pPr>
        <w:pStyle w:val="Heading1"/>
      </w:pPr>
      <w:r>
        <w:t xml:space="preserve">4. Feature Importance Analysis</w:t>
      </w:r>
    </w:p>
    <w:p>
      <w:pPr>
        <w:spacing w:after="200"/>
      </w:pPr>
      <w:r>
        <w:rPr>
          <w:rFonts w:ascii="Arial" w:cs="Arial" w:eastAsia="Arial" w:hAnsi="Arial"/>
          <w:sz w:val="22"/>
          <w:szCs w:val="22"/>
        </w:rPr>
        <w:t xml:space="preserve">CatBoost’s feature vector has 406 dimensions: indices 0–383 are sentence embedding dimensions (all-MiniLM-L6-v2), 384–392 are categorical features, 393–401 are numerical features, and 402–405 are boolean features. The feature importance reveals which features drive each prediction task.</w:t>
      </w:r>
    </w:p>
    <w:p>
      <w:pPr>
        <w:pStyle w:val="Heading2"/>
      </w:pPr>
      <w:r>
        <w:t xml:space="preserve">4.1 Category: Text embeddings dominate</w:t>
      </w:r>
    </w:p>
    <w:p>
      <w:pPr>
        <w:spacing w:after="200"/>
      </w:pPr>
      <w:r>
        <w:rPr>
          <w:rFonts w:ascii="Arial" w:cs="Arial" w:eastAsia="Arial" w:hAnsi="Arial"/>
          <w:sz w:val="22"/>
          <w:szCs w:val="22"/>
        </w:rPr>
        <w:t xml:space="preserve">The top features are embedding dimensions (indices 217, 223, 285, 397, 356). This confirms that category is predicted from text vocabulary alone — “License upgrade” → Account Management, “Data inconsistency” → Data Issue. Structured features contribute almost nothing (top structured feature has importance 0.8 vs 32.2 for the top embedding dimension). The model achieves F1=1.0 with just 2 trees.</w:t>
      </w:r>
    </w:p>
    <w:p>
      <w:pPr>
        <w:pStyle w:val="Heading2"/>
      </w:pPr>
      <w:r>
        <w:t xml:space="preserve">4.2 Subcategory: Structured features dominate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4360"/>
        <w:gridCol w:w="3000"/>
      </w:tblGrid>
      <w:tr>
        <w:tc>
          <w:tcPr>
            <w:tcW w:type="dxa" w:w="1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1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4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Importance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396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product_version_age_days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395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ticket_text_length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5.7</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398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affected_users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5.6</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394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similar_issues_last_30_days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393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previous_tickets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response_count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392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account_monthly_value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388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channel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399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attachments_count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390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region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4.0</w:t>
            </w:r>
          </w:p>
        </w:tc>
      </w:tr>
    </w:tbl>
    <w:p>
      <w:pPr>
        <w:spacing w:after="300"/>
      </w:pPr>
      <w:r>
        <w:rPr>
          <w:rFonts w:ascii="Arial" w:cs="Arial" w:eastAsia="Arial" w:hAnsi="Arial"/>
          <w:sz w:val="22"/>
          <w:szCs w:val="22"/>
        </w:rPr>
        <w:t xml:space="preserve">All top 10 features are structured (numerical/categorical), not embedding dimensions. The LLM labeler inferred subcategories from metadata (resolution codes, error types, product modules) rather than from the templated text. CatBoost can split on these features directly; the transformer must learn these patterns from tokenized metadata text.</w:t>
      </w:r>
    </w:p>
    <w:p>
      <w:pPr>
        <w:pStyle w:val="Heading2"/>
      </w:pPr>
      <w:r>
        <w:t xml:space="preserve">4.3 Priority: affected_users and metadata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4360"/>
        <w:gridCol w:w="3000"/>
      </w:tblGrid>
      <w:tr>
        <w:tc>
          <w:tcPr>
            <w:tcW w:type="dxa" w:w="1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1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4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Importance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398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affected_users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391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business_impact (cat)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11.8</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387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severity (cat)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389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environment (cat)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394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similar_issues_last_30_days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3.9</w:t>
            </w:r>
          </w:p>
        </w:tc>
      </w:tr>
    </w:tbl>
    <w:p>
      <w:pPr>
        <w:spacing w:after="200"/>
      </w:pPr>
      <w:r>
        <w:rPr>
          <w:rFonts w:ascii="Arial" w:cs="Arial" w:eastAsia="Arial" w:hAnsi="Arial"/>
          <w:sz w:val="22"/>
          <w:szCs w:val="22"/>
        </w:rPr>
        <w:t xml:space="preserve">Priority is overwhelmingly driven by affected_users (12.1) and business_impact (11.8) — the two features most directly tied to urgency. Severity (7.3) and environment (4.0, production vs staging) round out the top 5. Embedding dimensions appear only after rank 15+, confirming that priority is a metadata task, not a text task.</w:t>
      </w:r>
    </w:p>
    <w:p>
      <w:pPr>
        <w:pStyle w:val="Heading2"/>
      </w:pPr>
      <w:r>
        <w:t xml:space="preserve">4.4 Sentiment: Broad feature spread</w:t>
      </w:r>
    </w:p>
    <w:p>
      <w:pPr>
        <w:spacing w:after="200"/>
      </w:pPr>
      <w:r>
        <w:rPr>
          <w:rFonts w:ascii="Arial" w:cs="Arial" w:eastAsia="Arial" w:hAnsi="Arial"/>
          <w:sz w:val="22"/>
          <w:szCs w:val="22"/>
        </w:rPr>
        <w:t xml:space="preserve">Sentiment uses a wide spread of structured features (affected_users 5.1, previous_tickets 5.0, severity 5.0, ticket_text_length 4.8, product_version_age_days 4.6). No single feature dominates. This reflects the difficulty of the task: the LLM labeler inferred sentiment from a combination of signals (escalation + feedback + affected users + resolution satisfaction), and CatBoost learns this multi-feature interaction through tree splits. The relatively even spread also explains the lower F1 (0.46) — no single feature provides a strong signal.</w:t>
      </w:r>
    </w:p>
    <w:p>
      <w:pPr>
        <w:pStyle w:val="Heading2"/>
      </w:pPr>
      <w:r>
        <w:t xml:space="preserve">4.5 Key insight: CatBoost wins because of structured features</w:t>
      </w:r>
    </w:p>
    <w:p>
      <w:pPr>
        <w:spacing w:after="200"/>
      </w:pPr>
      <w:r>
        <w:rPr>
          <w:rFonts w:ascii="Arial" w:cs="Arial" w:eastAsia="Arial" w:hAnsi="Arial"/>
          <w:sz w:val="22"/>
          <w:szCs w:val="22"/>
        </w:rPr>
        <w:t xml:space="preserve">Across all three corrected tasks (subcategory, priority, sentiment), structured features dominate the top importance rankings. Embedding dimensions rarely appear in the top 10. This means CatBoost’s advantage comes from its native categorical and numerical feature handling, not from text understanding. The transformer, which must process categorical features as tokenized text, cannot match this efficiency on structured data.</w:t>
      </w:r>
    </w:p>
    <w:p>
      <w:pPr>
        <w:pStyle w:val="Heading1"/>
      </w:pPr>
      <w:r>
        <w:t xml:space="preserve">5. Why CatBoost Dominates on This Data</w:t>
      </w:r>
    </w:p>
    <w:p>
      <w:pPr>
        <w:pStyle w:val="Heading2"/>
      </w:pPr>
      <w:r>
        <w:t xml:space="preserve">5.1 Native categorical feature handling</w:t>
      </w:r>
    </w:p>
    <w:p>
      <w:pPr>
        <w:spacing w:after="200"/>
      </w:pPr>
      <w:r>
        <w:rPr>
          <w:rFonts w:ascii="Arial" w:cs="Arial" w:eastAsia="Arial" w:hAnsi="Arial"/>
          <w:sz w:val="22"/>
          <w:szCs w:val="22"/>
        </w:rPr>
        <w:t xml:space="preserve">CatBoost treats categorical features (product, customer_tier, severity, business_impact, environment, channel, region) as first-class inputs using ordered target encoding. A single tree split on “business_impact=critical” directly partitions the data. ModernBERT must tokenize “business_impact=critical” into subword tokens and learn through gradient descent that this token sequence represents a categorical variable — a fundamentally harder learning problem.</w:t>
      </w:r>
    </w:p>
    <w:p>
      <w:pPr>
        <w:pStyle w:val="Heading2"/>
      </w:pPr>
      <w:r>
        <w:t xml:space="preserve">5.2 Text templates are uninformative</w:t>
      </w:r>
    </w:p>
    <w:p>
      <w:pPr>
        <w:spacing w:after="200"/>
      </w:pPr>
      <w:r>
        <w:rPr>
          <w:rFonts w:ascii="Arial" w:cs="Arial" w:eastAsia="Arial" w:hAnsi="Arial"/>
          <w:sz w:val="22"/>
          <w:szCs w:val="22"/>
        </w:rPr>
        <w:t xml:space="preserve">The synthetic text templates are nearly identical within each category. ModernBERT’s strength — understanding language semantics, word order, and context — provides no advantage when the text is templated. The [CLS] embedding is nearly identical across tickets within the same category, giving LoRA very little signal to adapt.</w:t>
      </w:r>
    </w:p>
    <w:p>
      <w:pPr>
        <w:pStyle w:val="Heading2"/>
      </w:pPr>
      <w:r>
        <w:t xml:space="preserve">5.3 LoRA capacity vs data complexity</w:t>
      </w:r>
    </w:p>
    <w:p>
      <w:pPr>
        <w:spacing w:after="200"/>
      </w:pPr>
      <w:r>
        <w:rPr>
          <w:rFonts w:ascii="Arial" w:cs="Arial" w:eastAsia="Arial" w:hAnsi="Arial"/>
          <w:sz w:val="22"/>
          <w:szCs w:val="22"/>
        </w:rPr>
        <w:t xml:space="preserve">We tested two LoRA configurations: r=16/α=32 (~1.1M params) and r=32/α=64 (~2.2M params), plus metadata injection into the text input, reduced learning rate (5e-5), and increased patience. None improved results. The issue is not parameter count but the quality of the base representations: if the frozen encoder produces near-identical embeddings for different subcategories, no amount of low-rank perturbation can separate them.</w:t>
      </w:r>
    </w:p>
    <w:p>
      <w:pPr>
        <w:pStyle w:val="Heading2"/>
      </w:pPr>
      <w:r>
        <w:t xml:space="preserve">5.4 Would full fine-tuning help?</w:t>
      </w:r>
    </w:p>
    <w:p>
      <w:pPr>
        <w:spacing w:after="200"/>
      </w:pPr>
      <w:r>
        <w:rPr>
          <w:rFonts w:ascii="Arial" w:cs="Arial" w:eastAsia="Arial" w:hAnsi="Arial"/>
          <w:sz w:val="22"/>
          <w:szCs w:val="22"/>
        </w:rPr>
        <w:t xml:space="preserve">Possibly, but not dramatically. Full fine-tuning would let the model reshape its representations to attend more to the [META] tokens. However, CatBoost’s native categorical handling would likely still win: learning that “severity=high” is a categorical feature from subword tokens is inherently harder than native ordered target encoding, regardless of how many parameters are trained. Full fine-tuning would also risk catastrophic forgetting and require significantly more GPU memory.</w:t>
      </w:r>
    </w:p>
    <w:p>
      <w:pPr>
        <w:pStyle w:val="Heading1"/>
      </w:pPr>
      <w:r>
        <w:t xml:space="preserve">6. Sentiment: Why F1 Remains at 0.46</w:t>
      </w:r>
    </w:p>
    <w:p>
      <w:pPr>
        <w:spacing w:after="200"/>
      </w:pPr>
      <w:r>
        <w:rPr>
          <w:rFonts w:ascii="Arial" w:cs="Arial" w:eastAsia="Arial" w:hAnsi="Arial"/>
          <w:sz w:val="22"/>
          <w:szCs w:val="22"/>
        </w:rPr>
        <w:t xml:space="preserve">Sentiment is the hardest task even after label correction, for two compounding reasons:</w:t>
      </w:r>
    </w:p>
    <w:p>
      <w:pPr>
        <w:pStyle w:val="ListParagraph"/>
        <w:numPr>
          <w:ilvl w:val="0"/>
          <w:numId w:val="2"/>
        </w:numPr>
        <w:spacing w:after="200"/>
      </w:pPr>
      <w:r>
        <w:rPr>
          <w:rFonts w:ascii="Arial" w:cs="Arial" w:eastAsia="Arial" w:hAnsi="Arial"/>
          <w:sz w:val="22"/>
          <w:szCs w:val="22"/>
        </w:rPr>
        <w:t xml:space="preserve">The text templates lack genuine emotional language. The generator produces business-formal text (“We would like to request a feature”, “We have concerns about”) regardless of the assigned sentiment. Even Qwen2.5-72B can only infer sentiment from indirect cues — escalation status, feedback text, resolution satisfaction — not from text tone, because the tone doesn’t vary.</w:t>
      </w:r>
    </w:p>
    <w:p>
      <w:pPr>
        <w:pStyle w:val="ListParagraph"/>
        <w:numPr>
          <w:ilvl w:val="0"/>
          <w:numId w:val="2"/>
        </w:numPr>
        <w:spacing w:after="200"/>
      </w:pPr>
      <w:r>
        <w:rPr>
          <w:rFonts w:ascii="Arial" w:cs="Arial" w:eastAsia="Arial" w:hAnsi="Arial"/>
          <w:sz w:val="22"/>
          <w:szCs w:val="22"/>
        </w:rPr>
        <w:t xml:space="preserve">Six-class sentiment is too fine-grained for this data. The distinction between “angry” and “frustrated” or “satisfied” and “grateful” is subjective and noisy. Reducing to 3 classes (positive/neutral/negative) would likely achieve F1 &gt; 0.65.</w:t>
      </w:r>
    </w:p>
    <w:p>
      <w:pPr>
        <w:pStyle w:val="Heading1"/>
      </w:pPr>
      <w:r>
        <w:t xml:space="preserve">7. Future Improvements for the Transformer</w:t>
      </w:r>
    </w:p>
    <w:p>
      <w:pPr>
        <w:spacing w:after="200"/>
      </w:pPr>
      <w:r>
        <w:rPr>
          <w:rFonts w:ascii="Arial" w:cs="Arial" w:eastAsia="Arial" w:hAnsi="Arial"/>
          <w:sz w:val="22"/>
          <w:szCs w:val="22"/>
        </w:rPr>
        <w:t xml:space="preserve">While CatBoost wins on the current synthetic data, the transformer architecture has potential advantages that would emerge with real ticket data. The following improvements are documented for future implementation:</w:t>
      </w:r>
    </w:p>
    <w:p>
      <w:pPr>
        <w:pStyle w:val="Heading2"/>
      </w:pPr>
      <w:r>
        <w:t xml:space="preserve">7.1 ModernBERT’s long context for error logs</w:t>
      </w:r>
    </w:p>
    <w:p>
      <w:pPr>
        <w:spacing w:after="200"/>
      </w:pPr>
      <w:r>
        <w:rPr>
          <w:rFonts w:ascii="Arial" w:cs="Arial" w:eastAsia="Arial" w:hAnsi="Arial"/>
          <w:sz w:val="22"/>
          <w:szCs w:val="22"/>
        </w:rPr>
        <w:t xml:space="preserve">ModernBERT supports up to 8,192 tokens, versus DistilBERT’s 512. Support tickets with full stack traces and multi-email threads routinely exceed 512 tokens. The current synthetic tickets are short (~200 tokens), so this advantage is not yet realized. With real tickets, a sliding window strategy would be optimal: keep the subject, first 500 words of description, and last 1,000 tokens of the error log (where the actual crash cause usually appears).</w:t>
      </w:r>
    </w:p>
    <w:p>
      <w:pPr>
        <w:pStyle w:val="Heading2"/>
      </w:pPr>
      <w:r>
        <w:t xml:space="preserve">7.2 Code-native pretraining</w:t>
      </w:r>
    </w:p>
    <w:p>
      <w:pPr>
        <w:spacing w:after="200"/>
      </w:pPr>
      <w:r>
        <w:rPr>
          <w:rFonts w:ascii="Arial" w:cs="Arial" w:eastAsia="Arial" w:hAnsi="Arial"/>
          <w:sz w:val="22"/>
          <w:szCs w:val="22"/>
        </w:rPr>
        <w:t xml:space="preserve">ModernBERT was trained on 2 trillion tokens including a large code corpus. It understands patterns like SyncEngine.execute(sync_engine.py:156) far better than a general-purpose model. The current synthetic error logs are simple templates (ERROR_TIMEOUT_429), but real stack traces with function names, file paths, and line numbers would benefit from this code understanding.</w:t>
      </w:r>
    </w:p>
    <w:p>
      <w:pPr>
        <w:pStyle w:val="Heading2"/>
      </w:pPr>
      <w:r>
        <w:t xml:space="preserve">7.3 Special token injection for metadata</w:t>
      </w:r>
    </w:p>
    <w:p>
      <w:pPr>
        <w:spacing w:after="200"/>
      </w:pPr>
      <w:r>
        <w:rPr>
          <w:rFonts w:ascii="Arial" w:cs="Arial" w:eastAsia="Arial" w:hAnsi="Arial"/>
          <w:sz w:val="22"/>
          <w:szCs w:val="22"/>
        </w:rPr>
        <w:t xml:space="preserve">Instead of serializing metadata as text (“tier=enterprise”), an alternative approach is to register special tokens: [TIER_ENTERPRISE], [PROD_DATASYNC], [SEV_HIGH]. Each gets a single learned embedding vector, allowing the attention mechanism to filter text through the metadata from the very first layer. This is more parameter-efficient than subword tokenization of categorical values, though it requires adding tokens to the vocabulary and learning them from scratch.</w:t>
      </w:r>
    </w:p>
    <w:p>
      <w:pPr>
        <w:pStyle w:val="Heading2"/>
      </w:pPr>
      <w:r>
        <w:t xml:space="preserve">7.4 Full fine-tuning vs LoRA decision tree</w:t>
      </w:r>
    </w:p>
    <w:p>
      <w:pPr>
        <w:spacing w:after="200"/>
      </w:pPr>
      <w:r>
        <w:rPr>
          <w:rFonts w:ascii="Arial" w:cs="Arial" w:eastAsia="Arial" w:hAnsi="Arial"/>
          <w:sz w:val="22"/>
          <w:szCs w:val="22"/>
        </w:rPr>
        <w:t xml:space="preserve">The choice between full fine-tuning and LoRA depends on the data regime:</w:t>
      </w:r>
    </w:p>
    <w:p>
      <w:pPr>
        <w:pStyle w:val="ListParagraph"/>
        <w:numPr>
          <w:ilvl w:val="0"/>
          <w:numId w:val="2"/>
        </w:numPr>
        <w:spacing w:after="200"/>
      </w:pPr>
      <w:r>
        <w:rPr>
          <w:rFonts w:ascii="Arial" w:cs="Arial" w:eastAsia="Arial" w:hAnsi="Arial"/>
          <w:sz w:val="22"/>
          <w:szCs w:val="22"/>
        </w:rPr>
        <w:t xml:space="preserve">Under 10K tickets: LoRA (r=16–32) to prevent overfitting. The frozen encoder provides strong regularization.</w:t>
      </w:r>
    </w:p>
    <w:p>
      <w:pPr>
        <w:pStyle w:val="ListParagraph"/>
        <w:numPr>
          <w:ilvl w:val="0"/>
          <w:numId w:val="2"/>
        </w:numPr>
        <w:spacing w:after="200"/>
      </w:pPr>
      <w:r>
        <w:rPr>
          <w:rFonts w:ascii="Arial" w:cs="Arial" w:eastAsia="Arial" w:hAnsi="Arial"/>
          <w:sz w:val="22"/>
          <w:szCs w:val="22"/>
        </w:rPr>
        <w:t xml:space="preserve">10K–100K tickets with diverse text: Either approach works. LoRA is safer and faster; full fine-tuning may yield 5–10% relative improvement if the domain language differs significantly from pretraining data.</w:t>
      </w:r>
    </w:p>
    <w:p>
      <w:pPr>
        <w:pStyle w:val="ListParagraph"/>
        <w:numPr>
          <w:ilvl w:val="0"/>
          <w:numId w:val="2"/>
        </w:numPr>
        <w:spacing w:after="200"/>
      </w:pPr>
      <w:r>
        <w:rPr>
          <w:rFonts w:ascii="Arial" w:cs="Arial" w:eastAsia="Arial" w:hAnsi="Arial"/>
          <w:sz w:val="22"/>
          <w:szCs w:val="22"/>
        </w:rPr>
        <w:t xml:space="preserve">100K+ tickets with diverse text: Full fine-tuning becomes viable. The model has enough examples to re-wire itself for the technical support domain without catastrophic forgetting. Use DeepSpeed ZeRO-2 for memory efficiency.</w:t>
      </w:r>
    </w:p>
    <w:p>
      <w:pPr>
        <w:pStyle w:val="ListParagraph"/>
        <w:numPr>
          <w:ilvl w:val="0"/>
          <w:numId w:val="2"/>
        </w:numPr>
        <w:spacing w:after="200"/>
      </w:pPr>
      <w:r>
        <w:rPr>
          <w:rFonts w:ascii="Arial" w:cs="Arial" w:eastAsia="Arial" w:hAnsi="Arial"/>
          <w:sz w:val="22"/>
          <w:szCs w:val="22"/>
        </w:rPr>
        <w:t xml:space="preserve">100K tickets with templated text (our case): Neither approach helps much. The bottleneck is data quality, not model capacity.</w:t>
      </w:r>
    </w:p>
    <w:p>
      <w:pPr>
        <w:pStyle w:val="Heading1"/>
      </w:pPr>
      <w:r>
        <w:t xml:space="preserve">8.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CatBoost (Primary)</w:t>
            </w:r>
          </w:p>
        </w:tc>
        <w:tc>
          <w:tcPr>
            <w:tcW w:type="dxa" w:w="37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ModernBERT+LoRA (Secondary)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Strategy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 independent classifiers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Frozen encoder + LoRA + shared trunk + 4 heads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Text features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all-MiniLM-L6-v2 (384-dim)</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ModernBERT [CLS] + [META] tokens (768-dim)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Categorical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Native (9 features, ordered encoding)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Serialized into text ([META] tags)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Numerical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 features (native)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13 features (StandardScaler + concat)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Boolean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 features (native)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Included in numerical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Trainable params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~400 trees/task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~2.2M (LoRA r=32 + trunk + heads)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Loss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MultiClass + class weights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Focal loss (γ=2) + per-task weights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HPO</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Optuna 20 trials/task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Manual (lr=5e-5, patience=3)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Inference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13 ms (CPU)</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18 ms (GPU)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Interpretability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SHAP, feature importance per task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Attention weights (limited)</w:t>
            </w:r>
          </w:p>
        </w:tc>
      </w:tr>
    </w:tbl>
    <w:p>
      <w:pPr>
        <w:pStyle w:val="Heading1"/>
      </w:pPr>
      <w:r>
        <w:t xml:space="preserve">9. Recommendations</w:t>
      </w:r>
    </w:p>
    <w:p>
      <w:pPr>
        <w:pStyle w:val="ListParagraph"/>
        <w:numPr>
          <w:ilvl w:val="0"/>
          <w:numId w:val="2"/>
        </w:numPr>
        <w:spacing w:after="200"/>
      </w:pPr>
      <w:r>
        <w:rPr>
          <w:rFonts w:ascii="Arial" w:cs="Arial" w:eastAsia="Arial" w:hAnsi="Arial"/>
          <w:sz w:val="22"/>
          <w:szCs w:val="22"/>
        </w:rPr>
        <w:t xml:space="preserve">Deploy CatBoost as the sole production model. It is faster (13ms CPU vs 18ms GPU), more accurate on every task, more interpretable (SHAP), and requires no GPU.</w:t>
      </w:r>
    </w:p>
    <w:p>
      <w:pPr>
        <w:pStyle w:val="ListParagraph"/>
        <w:numPr>
          <w:ilvl w:val="0"/>
          <w:numId w:val="2"/>
        </w:numPr>
        <w:spacing w:after="200"/>
      </w:pPr>
      <w:r>
        <w:rPr>
          <w:rFonts w:ascii="Arial" w:cs="Arial" w:eastAsia="Arial" w:hAnsi="Arial"/>
          <w:sz w:val="22"/>
          <w:szCs w:val="22"/>
        </w:rPr>
        <w:t xml:space="preserve">Keep the transformer architecture in the codebase. When real tickets replace synthetic data, re-evaluate — the transformer’s text understanding advantage will emerge with diverse, human-written language and real stack traces.</w:t>
      </w:r>
    </w:p>
    <w:p>
      <w:pPr>
        <w:pStyle w:val="ListParagraph"/>
        <w:numPr>
          <w:ilvl w:val="0"/>
          <w:numId w:val="2"/>
        </w:numPr>
        <w:spacing w:after="200"/>
      </w:pPr>
      <w:r>
        <w:rPr>
          <w:rFonts w:ascii="Arial" w:cs="Arial" w:eastAsia="Arial" w:hAnsi="Arial"/>
          <w:sz w:val="22"/>
          <w:szCs w:val="22"/>
        </w:rPr>
        <w:t xml:space="preserve">Reduce sentiment from 6 to 3 classes (positive/neutral/negative). This would likely push F1 from 0.46 to above 0.65 with minimal loss of business value.</w:t>
      </w:r>
    </w:p>
    <w:p>
      <w:pPr>
        <w:pStyle w:val="ListParagraph"/>
        <w:numPr>
          <w:ilvl w:val="0"/>
          <w:numId w:val="2"/>
        </w:numPr>
        <w:spacing w:after="200"/>
      </w:pPr>
      <w:r>
        <w:rPr>
          <w:rFonts w:ascii="Arial" w:cs="Arial" w:eastAsia="Arial" w:hAnsi="Arial"/>
          <w:sz w:val="22"/>
          <w:szCs w:val="22"/>
        </w:rPr>
        <w:t xml:space="preserve">Run a second LLM correction pass specifically for sentiment, using a more detailed prompt with explicit tone examples for each class.</w:t>
      </w:r>
    </w:p>
    <w:p>
      <w:pPr>
        <w:pStyle w:val="ListParagraph"/>
        <w:numPr>
          <w:ilvl w:val="0"/>
          <w:numId w:val="2"/>
        </w:numPr>
        <w:spacing w:after="200"/>
      </w:pPr>
      <w:r>
        <w:rPr>
          <w:rFonts w:ascii="Arial" w:cs="Arial" w:eastAsia="Arial" w:hAnsi="Arial"/>
          <w:sz w:val="22"/>
          <w:szCs w:val="22"/>
        </w:rPr>
        <w:t xml:space="preserve">Collect real ticket data. Even 1,000–5,000 manually labeled real tickets would validate the expected improvements and reveal which model family performs better on production data.</w:t>
      </w:r>
    </w:p>
    <w:p>
      <w:pPr>
        <w:pStyle w:val="ListParagraph"/>
        <w:numPr>
          <w:ilvl w:val="0"/>
          <w:numId w:val="2"/>
        </w:numPr>
        <w:spacing w:after="200"/>
      </w:pPr>
      <w:r>
        <w:rPr>
          <w:rFonts w:ascii="Arial" w:cs="Arial" w:eastAsia="Arial" w:hAnsi="Arial"/>
          <w:sz w:val="22"/>
          <w:szCs w:val="22"/>
        </w:rPr>
        <w:t xml:space="preserve">Implement special token injection ([TIER_ENTERPRISE], [PROD_DATASYNC]) for the transformer when transitioning to real data, as this approach is more parameter-efficient than text serialization for categorical features.</w:t>
      </w:r>
    </w:p>
    <w:p>
      <w:pPr>
        <w:pStyle w:val="Heading1"/>
      </w:pPr>
      <w:r>
        <w:t xml:space="preserve">10. Conclusion</w:t>
      </w:r>
    </w:p>
    <w:p>
      <w:pPr>
        <w:spacing w:after="200"/>
      </w:pPr>
      <w:r>
        <w:rPr>
          <w:rFonts w:ascii="Arial" w:cs="Arial" w:eastAsia="Arial" w:hAnsi="Arial"/>
          <w:sz w:val="22"/>
          <w:szCs w:val="22"/>
        </w:rPr>
        <w:t xml:space="preserve">This experiment demonstrates a complete ML engineering workflow: diagnosing data quality issues through systematic analysis, correcting labels via open-source LLM distillation (zero cost, full data privacy), training and comparing two model families with different inductive biases, and using feature importance analysis to explain why one approach dominates.</w:t>
      </w:r>
    </w:p>
    <w:p>
      <w:pPr>
        <w:spacing w:after="200"/>
      </w:pPr>
      <w:r>
        <w:rPr>
          <w:rFonts w:ascii="Arial" w:cs="Arial" w:eastAsia="Arial" w:hAnsi="Arial"/>
          <w:sz w:val="22"/>
          <w:szCs w:val="22"/>
        </w:rPr>
        <w:t xml:space="preserve">The key finding is that model architecture matters less than data quality and feature engineering. The label correction step produced a 3× improvement in subcategory F1, while architecture changes (LoRA rank, metadata injection, learning rate tuning) produced no improvement. CatBoost’s dominance on this data is not a failure of the transformer approach but a confirmation that tree-based models with native categorical handling are the right tool for structured/templated data.</w:t>
      </w:r>
    </w:p>
    <w:p>
      <w:pPr>
        <w:spacing w:after="200"/>
      </w:pPr>
      <w:r>
        <w:rPr>
          <w:rFonts w:ascii="Arial" w:cs="Arial" w:eastAsia="Arial" w:hAnsi="Arial"/>
          <w:sz w:val="22"/>
          <w:szCs w:val="22"/>
        </w:rPr>
        <w:t xml:space="preserve">The system is architecturally ready for both paradigms: CatBoost for production today, with the transformer as a future option when real ticket data introduces the linguistic diversity that makes deep text understanding valuable.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2026-03-09T13:16:06.211Z</dcterms:created>
  <dcterms:modified xsi:type="dcterms:W3CDTF">2026-03-09T13:16:06.212Z</dcterms:modified>
</cp:coreProperties>
</file>

<file path=docProps/custom.xml><?xml version="1.0" encoding="utf-8"?>
<Properties xmlns="http://schemas.openxmlformats.org/officeDocument/2006/custom-properties" xmlns:vt="http://schemas.openxmlformats.org/officeDocument/2006/docPropsVTypes"/>
</file>