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企业数字化转型研究报告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本文研究，内容包括（三个方面）：数据治理、流程再造与组织变革。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2023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年营业收入为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14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亿元，同比增长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000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万元；效率提升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68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%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第二章将介绍技术路线，编号为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12345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，温度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≤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℃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时误差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±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%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结果非常好！测试文本。后续补充。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This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is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an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English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paragraph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which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uses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Chinese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comma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And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30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time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</w:p>
    <w:p>
      <w:pPr>
        <w:pStyle w:val="Heading1"/>
        <w:spacing w:line="580" w:lineRule="exact" w:before="0" w:beforeAutospacing="0" w:after="0" w:afterAutospacing="0"/>
        <w:ind w:firstLineChars="0" w:firstLine="0"/>
        <w:jc w:val="center"/>
      </w:pPr>
      <w:r>
        <w:rPr>
          <w:rFonts w:ascii="Times New Roman" w:hAnsi="Times New Roman" w:cs="Times New Roman" w:eastAsia="黑体"/>
          <w:b w:val="0"/>
          <w:bCs w:val="0"/>
          <w:color w:val="000000"/>
          <w:sz w:val="32"/>
          <w:szCs w:val="32"/>
        </w:rPr>
        <w:t>第一章 项目背景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这是使用标题样式的段落，正文内容应当保持首行缩进两字符。</w:t>
      </w:r>
    </w:p>
    <w:p>
      <w:pPr>
        <w:spacing w:line="580" w:lineRule="exact" w:before="0" w:beforeAutospacing="0" w:after="0" w:afterAutospacing="0"/>
        <w:ind w:firstLineChars="0" w:firstLine="0"/>
        <w:jc w:val="center"/>
      </w:pPr>
      <w:r>
        <w:rPr>
          <w:rFonts w:ascii="Times New Roman" w:hAnsi="Times New Roman" w:eastAsia="黑体" w:cs="Times New Roman"/>
          <w:b w:val="0"/>
          <w:bCs w:val="0"/>
          <w:color w:val="000000"/>
          <w:sz w:val="32"/>
          <w:szCs w:val="32"/>
        </w:rPr>
        <w:t>一、研究现状</w:t>
      </w:r>
    </w:p>
    <w:p>
      <w:pPr>
        <w:spacing w:line="580" w:lineRule="exact" w:before="0" w:beforeAutospacing="0" w:after="0" w:afterAutospacing="0"/>
        <w:ind w:firstLineChars="0" w:firstLine="0"/>
        <w:jc w:val="left"/>
      </w:pPr>
      <w:r>
        <w:rPr>
          <w:rFonts w:ascii="Times New Roman" w:hAnsi="Times New Roman" w:eastAsia="楷体" w:cs="Times New Roman"/>
          <w:b/>
          <w:bCs/>
          <w:color w:val="000000"/>
          <w:sz w:val="32"/>
          <w:szCs w:val="32"/>
        </w:rPr>
        <w:t>（一）国内研究</w:t>
      </w:r>
    </w:p>
    <w:p>
      <w:r>
        <w:drawing>
          <wp:inline xmlns:a="http://schemas.openxmlformats.org/drawingml/2006/main" xmlns:pic="http://schemas.openxmlformats.org/drawingml/2006/picture">
            <wp:extent cx="28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beforeAutospacing="0" w:after="0" w:afterAutospacing="0"/>
        <w:ind w:firstLineChars="0" w:firstLine="0"/>
        <w:jc w:val="center"/>
      </w:pPr>
      <w:r>
        <w:rPr>
          <w:rFonts w:ascii="Times New Roman" w:hAnsi="Times New Roman" w:eastAsia="楷体" w:cs="Times New Roman"/>
          <w:b w:val="0"/>
          <w:bCs w:val="0"/>
          <w:color w:val="000000"/>
          <w:sz w:val="21"/>
          <w:szCs w:val="21"/>
        </w:rPr>
        <w:t>图</w:t>
      </w:r>
      <w:r>
        <w:rPr>
          <w:rFonts w:ascii="Times New Roman" w:hAnsi="Times New Roman" w:eastAsia="楷体" w:cs="Times New Roman"/>
          <w:b w:val="0"/>
          <w:bCs w:val="0"/>
          <w:color w:val="000000"/>
          <w:sz w:val="21"/>
          <w:szCs w:val="21"/>
        </w:rPr>
        <w:t>1</w:t>
      </w:r>
      <w:r>
        <w:rPr>
          <w:rFonts w:ascii="Times New Roman" w:hAnsi="Times New Roman" w:eastAsia="楷体" w:cs="Times New Roman"/>
          <w:b w:val="0"/>
          <w:bCs w:val="0"/>
          <w:color w:val="000000"/>
          <w:sz w:val="21"/>
          <w:szCs w:val="21"/>
        </w:rPr>
        <w:t>数字化转型架构示意图</w:t>
      </w:r>
    </w:p>
    <w:p>
      <w:r>
        <w:drawing>
          <wp:inline xmlns:a="http://schemas.openxmlformats.org/drawingml/2006/main" xmlns:pic="http://schemas.openxmlformats.org/drawingml/2006/picture">
            <wp:extent cx="2160000" cy="12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上图展示了整体架构，该架构分为三层。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指标</w:t>
            </w:r>
          </w:p>
        </w:tc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2022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年</w:t>
            </w:r>
          </w:p>
        </w:tc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2023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年</w:t>
            </w:r>
          </w:p>
        </w:tc>
      </w:tr>
      <w:tr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营收（亿元）</w:t>
            </w:r>
          </w:p>
        </w:tc>
        <w:tc>
          <w:tcPr>
            <w:tcW w:type="dxa" w:w="3324"/>
          </w:tcPr>
          <w:p>
            <w:pPr>
              <w:spacing w:line="580" w:lineRule="exact" w:before="0" w:beforeAutospacing="0" w:after="0" w:afterAutospacing="0"/>
              <w:ind w:firstLineChars="0" w:firstLine="0"/>
              <w:jc w:val="left"/>
            </w:pPr>
            <w:r/>
            <w:r>
              <w:rPr>
                <w:rFonts w:ascii="Times New Roman" w:hAnsi="Times New Roman" w:eastAsia="楷体" w:cs="Times New Roman"/>
                <w:b/>
                <w:bCs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 w:eastAsia="楷体" w:cs="Times New Roman"/>
                <w:b/>
                <w:bCs/>
                <w:color w:val="000000"/>
                <w:sz w:val="32"/>
                <w:szCs w:val="32"/>
              </w:rPr>
              <w:t>.</w:t>
            </w:r>
            <w:r>
              <w:rPr>
                <w:rFonts w:ascii="Times New Roman" w:hAnsi="Times New Roman" w:eastAsia="楷体" w:cs="Times New Roman"/>
                <w:b/>
                <w:bCs/>
                <w:color w:val="000000"/>
                <w:sz w:val="28"/>
                <w:szCs w:val="28"/>
              </w:rPr>
              <w:t>85</w:t>
            </w:r>
          </w:p>
        </w:tc>
        <w:tc>
          <w:tcPr>
            <w:tcW w:type="dxa" w:w="3324"/>
          </w:tcPr>
          <w:p>
            <w:pPr>
              <w:spacing w:line="580" w:lineRule="exact" w:before="0" w:beforeAutospacing="0" w:after="0" w:afterAutospacing="0"/>
              <w:ind w:firstLineChars="0" w:firstLine="0"/>
              <w:jc w:val="left"/>
            </w:pPr>
            <w:r/>
            <w:r>
              <w:rPr>
                <w:rFonts w:ascii="Times New Roman" w:hAnsi="Times New Roman" w:eastAsia="楷体" w:cs="Times New Roman"/>
                <w:b/>
                <w:bCs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hAnsi="Times New Roman" w:eastAsia="楷体" w:cs="Times New Roman"/>
                <w:b/>
                <w:bCs/>
                <w:color w:val="000000"/>
                <w:sz w:val="32"/>
                <w:szCs w:val="32"/>
              </w:rPr>
              <w:t>.</w:t>
            </w:r>
            <w:r>
              <w:rPr>
                <w:rFonts w:ascii="Times New Roman" w:hAnsi="Times New Roman" w:eastAsia="楷体" w:cs="Times New Roman"/>
                <w:b/>
                <w:bCs/>
                <w:color w:val="000000"/>
                <w:sz w:val="28"/>
                <w:szCs w:val="28"/>
              </w:rPr>
              <w:t>14</w:t>
            </w:r>
          </w:p>
        </w:tc>
      </w:tr>
    </w:tbl>
    <w:p>
      <w:pPr>
        <w:pStyle w:val="ListNumber"/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第一条要求</w:t>
      </w:r>
    </w:p>
    <w:p>
      <w:pPr>
        <w:pStyle w:val="ListNumber"/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第二条要求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