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企业数字化转型研究报告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本文研究，内容包括（三个方面）：数据治理、流程再造与组织变革。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2023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年营业收入为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3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14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亿元，同比增长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000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万元；效率提升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68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%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第二章将介绍技术路线，编号为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12345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，温度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≤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25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℃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时误差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±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5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%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结果非常好！测试文本。后续补充。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This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is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an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English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paragraph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,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which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uses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Chinese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comma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And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12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: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30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time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.</w:t>
      </w:r>
    </w:p>
    <w:p>
      <w:pPr>
        <w:pStyle w:val="Heading1"/>
        <w:spacing w:line="360" w:lineRule="auto" w:before="240" w:beforeAutospacing="0" w:after="240" w:afterAutospacing="0"/>
        <w:ind w:firstLineChars="0" w:firstLine="0"/>
        <w:jc w:val="center"/>
      </w:pPr>
      <w:r>
        <w:rPr>
          <w:rFonts w:ascii="Times New Roman" w:hAnsi="Times New Roman" w:cs="Times New Roman" w:eastAsia="黑体"/>
          <w:b/>
          <w:bCs/>
          <w:color w:val="000000"/>
          <w:sz w:val="36"/>
          <w:szCs w:val="36"/>
        </w:rPr>
        <w:t>第一章 项目背景</w:t>
      </w:r>
    </w:p>
    <w:p>
      <w:pPr>
        <w:spacing w:line="360" w:lineRule="auto" w:before="0" w:beforeAutospacing="0" w:after="0" w:afterAutospacing="0"/>
        <w:ind w:firstLineChars="200" w:firstLine="48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这是使用标题样式的段落，正文内容应当保持首行缩进两字符。</w:t>
      </w:r>
    </w:p>
    <w:p>
      <w:pPr>
        <w:spacing w:line="360" w:lineRule="auto" w:before="240" w:beforeAutospacing="0" w:after="240" w:afterAutospacing="0"/>
        <w:ind w:firstLineChars="0" w:firstLine="0"/>
        <w:jc w:val="center"/>
      </w:pPr>
      <w:r>
        <w:rPr>
          <w:rFonts w:ascii="Times New Roman" w:hAnsi="Times New Roman" w:eastAsia="黑体" w:cs="Times New Roman"/>
          <w:b/>
          <w:bCs/>
          <w:color w:val="000000"/>
          <w:sz w:val="36"/>
          <w:szCs w:val="36"/>
        </w:rPr>
        <w:t>一、研究现状</w:t>
      </w:r>
    </w:p>
    <w:p>
      <w:pPr>
        <w:spacing w:line="360" w:lineRule="auto" w:before="120" w:beforeAutospacing="0" w:after="120" w:afterAutospacing="0"/>
        <w:ind w:firstLineChars="0" w:firstLine="0"/>
        <w:jc w:val="left"/>
      </w:pPr>
      <w:r>
        <w:rPr>
          <w:rFonts w:ascii="Times New Roman" w:hAnsi="Times New Roman" w:eastAsia="黑体" w:cs="Times New Roman"/>
          <w:b/>
          <w:bCs/>
          <w:color w:val="000000"/>
          <w:sz w:val="28"/>
          <w:szCs w:val="28"/>
        </w:rPr>
        <w:t>（一）国内研究</w:t>
      </w:r>
    </w:p>
    <w:p>
      <w:r>
        <w:drawing>
          <wp:inline xmlns:a="http://schemas.openxmlformats.org/drawingml/2006/main" xmlns:pic="http://schemas.openxmlformats.org/drawingml/2006/picture">
            <wp:extent cx="288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beforeAutospacing="0" w:after="0" w:afterAutospacing="0"/>
        <w:ind w:firstLineChars="0" w:firstLine="0"/>
        <w:jc w:val="center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图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1</w:t>
      </w:r>
      <w:r>
        <w:rPr>
          <w:rFonts w:ascii="Times New Roman" w:hAnsi="Times New Roman" w:eastAsia="宋体" w:cs="Times New Roman"/>
          <w:b w:val="0"/>
          <w:bCs w:val="0"/>
          <w:color w:val="000000"/>
          <w:sz w:val="21"/>
          <w:szCs w:val="21"/>
        </w:rPr>
        <w:t>数字化转型架构示意图</w:t>
      </w:r>
    </w:p>
    <w:p>
      <w:r>
        <w:drawing>
          <wp:inline xmlns:a="http://schemas.openxmlformats.org/drawingml/2006/main" xmlns:pic="http://schemas.openxmlformats.org/drawingml/2006/picture">
            <wp:extent cx="2160000" cy="121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eastAsia="宋体" w:cs="Times New Roman"/>
          <w:b w:val="0"/>
          <w:bCs w:val="0"/>
          <w:color w:val="000000"/>
          <w:sz w:val="24"/>
          <w:szCs w:val="24"/>
        </w:rPr>
        <w:t>上图展示了整体架构，该架构分为三层。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指标</w:t>
            </w:r>
          </w:p>
        </w:tc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2022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年</w:t>
            </w:r>
          </w:p>
        </w:tc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2023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年</w:t>
            </w:r>
          </w:p>
        </w:tc>
      </w:tr>
      <w:tr>
        <w:tc>
          <w:tcPr>
            <w:tcW w:type="dxa" w:w="3324"/>
          </w:tcPr>
          <w:p>
            <w:pPr>
              <w:spacing w:line="360" w:lineRule="auto" w:before="0" w:beforeAutospacing="0" w:after="0" w:afterAutospacing="0"/>
              <w:ind w:firstLineChars="0" w:firstLine="0"/>
              <w:jc w:val="both"/>
            </w:pPr>
            <w:r/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sz w:val="24"/>
                <w:szCs w:val="24"/>
              </w:rPr>
              <w:t>营收（亿元）</w:t>
            </w:r>
          </w:p>
        </w:tc>
        <w:tc>
          <w:tcPr>
            <w:tcW w:type="dxa" w:w="3324"/>
          </w:tcPr>
          <w:p>
            <w:pPr>
              <w:spacing w:line="360" w:lineRule="auto" w:before="120" w:beforeAutospacing="0" w:after="120" w:afterAutospacing="0"/>
              <w:ind w:firstLineChars="0" w:firstLine="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  <w:t>85</w:t>
            </w:r>
          </w:p>
        </w:tc>
        <w:tc>
          <w:tcPr>
            <w:tcW w:type="dxa" w:w="3324"/>
          </w:tcPr>
          <w:p>
            <w:pPr>
              <w:spacing w:line="360" w:lineRule="auto" w:before="120" w:beforeAutospacing="0" w:after="120" w:afterAutospacing="0"/>
              <w:ind w:firstLineChars="0" w:firstLine="0"/>
              <w:jc w:val="left"/>
            </w:pPr>
            <w:r/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eastAsia="黑体" w:cs="Times New Roman"/>
                <w:b/>
                <w:bCs/>
                <w:color w:val="000000"/>
                <w:sz w:val="28"/>
                <w:szCs w:val="28"/>
              </w:rPr>
              <w:t>14</w:t>
            </w:r>
          </w:p>
        </w:tc>
      </w:tr>
    </w:tbl>
    <w:p>
      <w:pPr>
        <w:pStyle w:val="ListNumber"/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第一条要求</w:t>
      </w:r>
    </w:p>
    <w:p>
      <w:pPr>
        <w:pStyle w:val="ListNumber"/>
        <w:spacing w:line="360" w:lineRule="auto" w:before="0" w:beforeAutospacing="0" w:after="0" w:afterAutospacing="0"/>
        <w:ind w:firstLineChars="0" w:firstLine="0"/>
        <w:jc w:val="both"/>
      </w:pPr>
      <w:r>
        <w:rPr>
          <w:rFonts w:ascii="Times New Roman" w:hAnsi="Times New Roman" w:cs="Times New Roman" w:eastAsia="宋体"/>
          <w:b w:val="0"/>
          <w:bCs w:val="0"/>
          <w:color w:val="000000"/>
          <w:sz w:val="24"/>
          <w:szCs w:val="24"/>
        </w:rPr>
        <w:t>第二条要求</w:t>
      </w:r>
    </w:p>
    <w:sectPr w:rsidR="00FC693F" w:rsidRPr="0006063C" w:rsidSect="00034616">
      <w:pgSz w:w="12240" w:h="15840"/>
      <w:pgMar w:top="1440" w:right="1474" w:bottom="1440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