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本科毕业论文</w:t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题目：企业数字化转型研究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作者：张三    学号：2021001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指导教师：李四    日期：2024年6月</w:t>
      </w:r>
    </w:p>
    <w:p>
      <w:r>
        <w:br w:type="page"/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目 录</w:t>
      </w:r>
    </w:p>
    <w:p>
      <w:r>
        <w:rPr>
          <w:rFonts w:ascii="Times New Roman" w:hAnsi="Times New Roman" w:eastAsia="宋体"/>
          <w:sz w:val="24"/>
        </w:rPr>
        <w:t>第一章 项目背景</w:t>
      </w:r>
      <w:r>
        <w:tab/>
        <w:t>1</w:t>
      </w:r>
    </w:p>
    <w:p>
      <w:r>
        <w:rPr>
          <w:rFonts w:ascii="Times New Roman" w:hAnsi="Times New Roman" w:eastAsia="宋体"/>
          <w:sz w:val="24"/>
        </w:rPr>
        <w:t>第二章 技术路线</w:t>
      </w:r>
      <w:r>
        <w:tab/>
        <w:t>5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水的化学式是 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O，面积单位是 cm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，体积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m³，引用文献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未标记的幂次 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会被智能修正为上标。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手动修正测试：引用标记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需要手动指定为角标。</w:t>
      </w:r>
    </w:p>
    <w:p>
      <w:pPr>
        <w:pStyle w:val="Heading1"/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580" w:lineRule="exact" w:before="0" w:beforeAutospacing="0" w:after="0" w:afterAutospacing="0"/>
        <w:ind w:firstLineChars="0" w:firstLine="0"/>
        <w:jc w:val="left"/>
      </w:pPr>
      <w:r>
        <w:rPr>
          <w:rFonts w:ascii="Times New Roman" w:hAnsi="Times New Roman" w:eastAsia="楷体" w:cs="Times New Roman"/>
          <w:b/>
          <w:bCs/>
          <w:color w:val="000000"/>
          <w:sz w:val="32"/>
          <w:szCs w:val="32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楷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pct" w:w="5000"/>
        <w:jc w:val="center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autofit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3324"/>
            <w:tcBorders>
              <w:bottom w:val="single" w:sz="4" w:space="0" w:color="000000"/>
            </w:tcBorders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指标</w:t>
            </w:r>
          </w:p>
        </w:tc>
        <w:tc>
          <w:tcPr>
            <w:tcW w:type="dxa" w:w="3324"/>
            <w:tcBorders>
              <w:bottom w:val="single" w:sz="4" w:space="0" w:color="000000"/>
            </w:tcBorders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2022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  <w:vertAlign w:val="superscript"/>
              </w:rPr>
              <w:t>*</w:t>
            </w:r>
          </w:p>
        </w:tc>
        <w:tc>
          <w:tcPr>
            <w:tcW w:type="dxa" w:w="3324"/>
            <w:tcBorders>
              <w:bottom w:val="single" w:sz="4" w:space="0" w:color="000000"/>
            </w:tcBorders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2023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85</w:t>
            </w:r>
          </w:p>
        </w:tc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14</w:t>
            </w:r>
          </w:p>
        </w:tc>
      </w:tr>
      <w:tr>
        <w:tc>
          <w:tcPr>
            <w:tcW w:type="dxa" w:w="3324"/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增长率</w:t>
            </w:r>
          </w:p>
        </w:tc>
        <w:tc>
          <w:tcPr>
            <w:tcW w:type="dxa" w:w="6648"/>
            <w:gridSpan w:val="2"/>
          </w:tcPr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12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%</w:t>
            </w:r>
          </w:p>
          <w:p>
            <w:pPr>
              <w:spacing w:line="240" w:lineRule="auto" w:before="0" w:beforeAutospacing="0" w:after="0" w:afterAutospacing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10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.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1"/>
                <w:szCs w:val="21"/>
              </w:rPr>
              <w:t>%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p>
      <w:pPr>
        <w:spacing w:line="580" w:lineRule="exact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参考文献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[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张三。数字化转型研究，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-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