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谷粒CRM 20家企业真实销售试点方案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V1.0  |  2026年10月18日  |  谷粒信息科技服务中心</w:t>
      </w:r>
    </w:p>
    <w:p/>
    <w:p>
      <w:r>
        <w:rPr>
          <w:rFonts w:ascii="黑体" w:hAnsi="黑体" w:eastAsia="黑体"/>
          <w:b/>
          <w:sz w:val="32"/>
        </w:rPr>
        <w:t>一、试点目标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以20家潍坊及周边真实企业为样本，验证谷粒CRM国内版（GuliERP底座）从线索导入、去重、分配、跟进、商机到经营看板的完整销售闭环是否可用。试点不以成交数量为软件功能成败标准，重点验证系统能否支撑三人销售团队的日常操作，并发现影响实际使用的问题。</w:t>
      </w:r>
    </w:p>
    <w:p>
      <w:r>
        <w:rPr>
          <w:rFonts w:ascii="黑体" w:hAnsi="黑体" w:eastAsia="黑体"/>
          <w:b/>
          <w:sz w:val="32"/>
        </w:rPr>
        <w:t>二、20家企业选取标准与来源</w:t>
      </w:r>
    </w:p>
    <w:p>
      <w:r>
        <w:rPr>
          <w:rFonts w:ascii="黑体" w:hAnsi="黑体" w:eastAsia="黑体"/>
          <w:b/>
          <w:sz w:val="28"/>
        </w:rPr>
        <w:t>2.1 选取标准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维度</w:t>
            </w:r>
          </w:p>
        </w:tc>
        <w:tc>
          <w:tcPr>
            <w:tcW w:type="dxa" w:w="4156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标准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潍坊及周边（昌乐、寿光、诸城、青州等），优先昌乐本地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行业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食品/农牧/机械/化工/新材料等中小企业，有建站或GEO优化潜力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数据质量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有独立域名或可通过ICP查到企业全称，排除政府/教育/医院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来源多样性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Quake测绘、历史客户、转介绍、Excel导入各占一定比例</w:t>
            </w:r>
          </w:p>
        </w:tc>
      </w:tr>
    </w:tbl>
    <w:p>
      <w:r>
        <w:rPr>
          <w:rFonts w:ascii="黑体" w:hAnsi="黑体" w:eastAsia="黑体"/>
          <w:b/>
          <w:sz w:val="28"/>
        </w:rPr>
        <w:t>2.2 企业清单（试点用，实际以CRM导入结果为准）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首批20家从Quake测绘结果中筛选，涵盖食品、机械、化工、新材料等行业。完整清单见CRM线索池，导入后自动去重。</w:t>
      </w:r>
    </w:p>
    <w:p>
      <w:r>
        <w:rPr>
          <w:rFonts w:ascii="黑体" w:hAnsi="黑体" w:eastAsia="黑体"/>
          <w:b/>
          <w:sz w:val="32"/>
        </w:rPr>
        <w:t>三、三人团队分工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人员</w:t>
            </w:r>
          </w:p>
        </w:tc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职责</w:t>
            </w:r>
          </w:p>
        </w:tc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系统权限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销售A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负责10家企业跟进，重点食品行业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线索读写、商机创建、跟进记录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销售B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负责10家企业跟进，重点机械/化工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线索读写、商机创建、跟进记录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销售C/负责人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审核线索、分配、看经营看板、复盘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全部权限+看板</w:t>
            </w:r>
          </w:p>
        </w:tc>
      </w:tr>
    </w:tbl>
    <w:p>
      <w:r>
        <w:rPr>
          <w:rFonts w:ascii="黑体" w:hAnsi="黑体" w:eastAsia="黑体"/>
          <w:b/>
          <w:sz w:val="32"/>
        </w:rPr>
        <w:t>四、试点周期与每日流程</w:t>
      </w:r>
    </w:p>
    <w:p>
      <w:r>
        <w:rPr>
          <w:rFonts w:ascii="黑体" w:hAnsi="黑体" w:eastAsia="黑体"/>
          <w:b/>
          <w:sz w:val="28"/>
        </w:rPr>
        <w:t>4.1 周期：2周（10个工作日）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277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时间</w:t>
            </w:r>
          </w:p>
        </w:tc>
        <w:tc>
          <w:tcPr>
            <w:tcW w:type="dxa" w:w="277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动作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准备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第1天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20家导入CRM，分配负责人，确认每人10家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首轮联系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第2-4天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每人完成10家首次电话/微信联系，记录结果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深度跟进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第5-8天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对有兴趣的企业建商机、约拜访、出报价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第9-10天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汇总数据，输出问题清单和改进计划</w:t>
            </w:r>
          </w:p>
        </w:tc>
      </w:tr>
    </w:tbl>
    <w:p>
      <w:r>
        <w:rPr>
          <w:rFonts w:ascii="黑体" w:hAnsi="黑体" w:eastAsia="黑体"/>
          <w:b/>
          <w:sz w:val="28"/>
        </w:rPr>
        <w:t>4.2 每日操作流程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上班打开「今日待办」，处理逾期和当天任务；2. 按分配清单联系企业，每次联系后在客户详情页写跟进记录（含下次动作和日期）；3. 有明确需求的企业创建商机，推进阶段；4. 下班前查看「经营看板」，确认漏斗数据。</w:t>
      </w:r>
    </w:p>
    <w:p>
      <w:r>
        <w:rPr>
          <w:rFonts w:ascii="黑体" w:hAnsi="黑体" w:eastAsia="黑体"/>
          <w:b/>
          <w:sz w:val="32"/>
        </w:rPr>
        <w:t>五、系统功能验证清单（可量化）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验证项</w:t>
            </w:r>
          </w:p>
        </w:tc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通过标准</w:t>
            </w:r>
          </w:p>
        </w:tc>
        <w:tc>
          <w:tcPr>
            <w:tcW w:type="dxa" w:w="207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失败判定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20家导入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全部导入成功，有导入结果报告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导入失败&gt;2家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去重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重复企业正确识别，不误合并不同法人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误合并≥1家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分配负责人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每家企业有明确负责人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无负责人&gt;2家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跟进记录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可记录电话/微信/上门，含下次动作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无法创建跟进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今日待办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有下次动作的跟进出现在待办，逾期标红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待办不出现或逾期判断错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标记完成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标记后从待办消失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标记后仍在待办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V7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商机管理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可创建商机、推进阶段、赢单/输单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任一操作失败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V8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经营看板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漏斗数、转化率、金额与实际一致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数据偏差&gt;10%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V9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权限隔离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销售A看不到销售B的私有数据（如配置）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越权访问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Excel导入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可批量导入并显示去重报告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导入或报告失败</w:t>
            </w:r>
          </w:p>
        </w:tc>
      </w:tr>
    </w:tbl>
    <w:p>
      <w:r>
        <w:rPr>
          <w:rFonts w:ascii="黑体" w:hAnsi="黑体" w:eastAsia="黑体"/>
          <w:b/>
          <w:sz w:val="32"/>
        </w:rPr>
        <w:t>六、成功与失败判定</w:t>
      </w:r>
    </w:p>
    <w:p>
      <w:r>
        <w:rPr>
          <w:rFonts w:ascii="黑体" w:hAnsi="黑体" w:eastAsia="黑体"/>
          <w:b/>
          <w:sz w:val="28"/>
        </w:rPr>
        <w:t>6.1 系统功能成功标准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V1-V8全部通过，V9-V10无阻断性问题。试点期间系统稳定运行，无数据丢失。</w:t>
      </w:r>
    </w:p>
    <w:p>
      <w:r>
        <w:rPr>
          <w:rFonts w:ascii="黑体" w:hAnsi="黑体" w:eastAsia="黑体"/>
          <w:b/>
          <w:sz w:val="28"/>
        </w:rPr>
        <w:t>6.2 经营效果（参考指标，非功能成败标准）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277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  <w:tc>
          <w:tcPr>
            <w:tcW w:type="dxa" w:w="277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首次联系率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≥80%（16/20）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2周内完成首次联系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有兴趣率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≥20%（4/20）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愿意进一步沟通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≥3个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进入方案/报价阶段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成交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不做硬性要求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经营效果，非软件功能指标</w:t>
            </w:r>
          </w:p>
        </w:tc>
      </w:tr>
    </w:tbl>
    <w:p>
      <w:pPr>
        <w:ind w:firstLine="480"/>
      </w:pPr>
      <w:r>
        <w:rPr>
          <w:rFonts w:ascii="宋体" w:hAnsi="宋体" w:eastAsia="宋体"/>
          <w:b w:val="0"/>
          <w:sz w:val="24"/>
        </w:rPr>
        <w:t>注意：短期未成交不代表系统功能失败。系统价值在于让跟进过程可追溯、可量化，降低漏单率。</w:t>
      </w:r>
    </w:p>
    <w:p>
      <w:r>
        <w:rPr>
          <w:rFonts w:ascii="黑体" w:hAnsi="黑体" w:eastAsia="黑体"/>
          <w:b/>
          <w:sz w:val="32"/>
        </w:rP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风险</w:t>
            </w:r>
          </w:p>
        </w:tc>
        <w:tc>
          <w:tcPr>
            <w:tcW w:type="dxa" w:w="4156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应对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企业联系不上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记录联系失败原因，3次后标记暂存，不强行推进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重复企业误判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高风险重复进入人工审核，不自动合并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GEO/ICP数据不准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标注为“待核实”，不直接作为销售结论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系统不稳定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每日导出关键数据备份，云端+本地双份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三人操作不规范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第3天中期检查，统一跟进记录格式</w:t>
            </w:r>
          </w:p>
        </w:tc>
      </w:tr>
    </w:tbl>
    <w:p>
      <w:r>
        <w:rPr>
          <w:rFonts w:ascii="黑体" w:hAnsi="黑体" w:eastAsia="黑体"/>
          <w:b/>
          <w:sz w:val="32"/>
        </w:rPr>
        <w:t>八、试点输出物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20家企业导入结果报告；2. 每人跟进记录汇总；3. 商机清单与阶段分布；4. 经营看板截图；5. 问题清单与改进计划（按优先级排序）；6. 试点总结（功能验证结果+经营效果初步判断）。</w:t>
      </w:r>
    </w:p>
    <w:p/>
    <w:p>
      <w:pPr>
        <w:jc w:val="center"/>
      </w:pPr>
      <w:r>
        <w:rPr>
          <w:rFonts w:ascii="宋体" w:hAnsi="宋体" w:eastAsia="宋体"/>
          <w:b w:val="0"/>
          <w:sz w:val="20"/>
        </w:rPr>
        <w:t>—— 全文完 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