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jc w:val="center"/>
      </w:pPr>
      <w:r>
        <w:rPr>
          <w:rFonts w:ascii="Calibri" w:cs="Calibri" w:eastAsia="Calibri" w:hAnsi="Calibri"/>
          <w:b/>
          <w:bCs/>
          <w:color w:val="1F3864"/>
          <w:sz w:val="56"/>
          <w:szCs w:val="56"/>
        </w:rPr>
        <w:t xml:space="preserve">EdgeASIC</w:t>
      </w:r>
    </w:p>
    <w:p>
      <w:pPr>
        <w:spacing w:after="140"/>
        <w:jc w:val="center"/>
      </w:pPr>
      <w:r>
        <w:rPr>
          <w:rFonts w:ascii="Calibri" w:cs="Calibri" w:eastAsia="Calibri" w:hAnsi="Calibri"/>
          <w:b/>
          <w:bCs/>
          <w:color w:val="1F3864"/>
          <w:sz w:val="32"/>
          <w:szCs w:val="32"/>
        </w:rPr>
        <w:t xml:space="preserve">Architecture Change Register: v4.8 → v5.0</w:t>
      </w:r>
    </w:p>
    <w:p>
      <w:pPr>
        <w:spacing w:after="100"/>
        <w:jc w:val="center"/>
      </w:pPr>
      <w:r>
        <w:rPr>
          <w:rFonts w:ascii="Calibri" w:cs="Calibri" w:eastAsia="Calibri" w:hAnsi="Calibri"/>
          <w:b w:val="false"/>
          <w:bCs w:val="false"/>
          <w:i w:val="false"/>
          <w:iCs w:val="false"/>
          <w:color w:val="000000"/>
          <w:sz w:val="24"/>
          <w:szCs w:val="24"/>
        </w:rPr>
        <w:t xml:space="preserve">Complete enumeration of architectural differences, with justification and impact</w:t>
      </w:r>
    </w:p>
    <w:p>
      <w:pPr>
        <w:spacing w:after="500"/>
        <w:jc w:val="center"/>
      </w:pPr>
      <w:r>
        <w:rPr>
          <w:rFonts w:ascii="Calibri" w:cs="Calibri" w:eastAsia="Calibri" w:hAnsi="Calibri"/>
          <w:b w:val="false"/>
          <w:bCs w:val="false"/>
          <w:i/>
          <w:iCs/>
          <w:color w:val="000000"/>
          <w:sz w:val="20"/>
          <w:szCs w:val="20"/>
        </w:rPr>
        <w:t xml:space="preserve">Companion to the v5.0 Architecture Specification, RTL Specification and 36-Week Plan</w:t>
      </w:r>
    </w:p>
    <w:p>
      <w:pPr>
        <w:jc w:val="center"/>
      </w:pPr>
      <w:r>
        <w:rPr>
          <w:rFonts w:ascii="Calibri" w:cs="Calibri" w:eastAsia="Calibri" w:hAnsi="Calibri"/>
          <w:b/>
          <w:bCs/>
          <w:i w:val="false"/>
          <w:iCs w:val="false"/>
          <w:color w:val="000000"/>
          <w:sz w:val="20"/>
          <w:szCs w:val="20"/>
        </w:rPr>
        <w:t xml:space="preserve">Revision 1.0  ·  17 August 2026</w:t>
      </w:r>
    </w:p>
    <w:p>
      <w:r>
        <w:br w:type="page"/>
      </w:r>
    </w:p>
    <w:p>
      <w:pPr>
        <w:pStyle w:val="Heading1"/>
        <w:spacing w:after="140" w:before="300"/>
      </w:pPr>
      <w:r>
        <w:rPr>
          <w:rFonts w:ascii="Calibri" w:cs="Calibri" w:eastAsia="Calibri" w:hAnsi="Calibri"/>
          <w:b/>
          <w:bCs/>
          <w:color w:val="1F3864"/>
          <w:sz w:val="30"/>
          <w:szCs w:val="30"/>
        </w:rPr>
        <w:t xml:space="preserve">Purpose and How to Read This Document</w:t>
      </w:r>
    </w:p>
    <w:p>
      <w:pPr>
        <w:spacing w:after="80" w:before="80"/>
        <w:jc w:val="left"/>
      </w:pPr>
      <w:r>
        <w:rPr>
          <w:rFonts w:ascii="Calibri" w:cs="Calibri" w:eastAsia="Calibri" w:hAnsi="Calibri"/>
          <w:b w:val="false"/>
          <w:bCs w:val="false"/>
          <w:i w:val="false"/>
          <w:iCs w:val="false"/>
          <w:color w:val="000000"/>
          <w:sz w:val="19"/>
          <w:szCs w:val="19"/>
        </w:rPr>
        <w:t xml:space="preserve">This register enumerates every architectural difference between EdgeASIC v4.8 and v5.0. It exists so that a reader who knows the v4.8 documents does not have to diff three specifications by hand, and so that every change carries a recorded justification rather than being absorbed silently into a new revision.</w:t>
      </w:r>
    </w:p>
    <w:p>
      <w:pPr>
        <w:spacing w:after="80" w:before="80"/>
        <w:jc w:val="left"/>
      </w:pPr>
      <w:r>
        <w:rPr>
          <w:rFonts w:ascii="Calibri" w:cs="Calibri" w:eastAsia="Calibri" w:hAnsi="Calibri"/>
          <w:b w:val="false"/>
          <w:bCs w:val="false"/>
          <w:i w:val="false"/>
          <w:iCs w:val="false"/>
          <w:color w:val="000000"/>
          <w:sz w:val="19"/>
          <w:szCs w:val="19"/>
        </w:rPr>
        <w:t xml:space="preserve">Each change carries a unique identifier of the form CR-nn. Changes are grouped by category. Every entry states what changed, why, what it costs, and which documents and modules it touches. Where a change reverses a v4.8 decision, the reversal is stated explicitly rather than being presented as if the earlier decision had never existed.</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200"/>
        <w:gridCol w:w="7160"/>
      </w:tblGrid>
      <w:tr>
        <w:trPr>
          <w:tblHeader/>
        </w:trPr>
        <w:tc>
          <w:tcPr>
            <w:tcW w:type="dxa" w:w="22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Field</w:t>
            </w:r>
          </w:p>
        </w:tc>
        <w:tc>
          <w:tcPr>
            <w:tcW w:type="dxa" w:w="71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Meaning</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CR-nn</w:t>
            </w:r>
          </w:p>
        </w:tc>
        <w:tc>
          <w:tcPr>
            <w:tcW w:type="dxa" w:w="7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Change identifier. Referenced from the v5.0 specifications where a reader may expect the v4.8 behaviour.</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Category</w:t>
            </w:r>
          </w:p>
        </w:tc>
        <w:tc>
          <w:tcPr>
            <w:tcW w:type="dxa" w:w="71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Target, scope, datapath, control, memory, verification, or claim.</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Impact</w:t>
            </w:r>
          </w:p>
        </w:tc>
        <w:tc>
          <w:tcPr>
            <w:tcW w:type="dxa" w:w="7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Whether the change adds, removes, reclassifies or corrects.</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Cost</w:t>
            </w:r>
          </w:p>
        </w:tc>
        <w:tc>
          <w:tcPr>
            <w:tcW w:type="dxa" w:w="71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Implementation cost in new modules or weeks, where applicable.</w:t>
            </w:r>
          </w:p>
        </w:tc>
      </w:tr>
    </w:tbl>
    <w:tbl>
      <w:tblPr>
        <w:tblW w:type="dxa" w:w="9360"/>
        <w:tblBorders>
          <w:top w:val="single" w:color="538135" w:sz="6"/>
          <w:left w:val="single" w:color="538135" w:sz="6"/>
          <w:bottom w:val="single" w:color="538135" w:sz="6"/>
          <w:right w:val="single" w:color="538135" w:sz="6"/>
          <w:insideH w:val="none"/>
          <w:insideV w:val="none"/>
        </w:tblBorders>
      </w:tblPr>
      <w:tblGrid>
        <w:gridCol w:w="9360"/>
      </w:tblGrid>
      <w:tr>
        <w:tc>
          <w:tcPr>
            <w:tcW w:type="dxa" w:w="9360"/>
            <w:shd w:fill="E2EFDA" w:color="auto" w:val="clear"/>
            <w:tcMar>
              <w:top w:type="dxa" w:w="110"/>
              <w:left w:type="dxa" w:w="150"/>
              <w:bottom w:type="dxa" w:w="110"/>
              <w:right w:type="dxa" w:w="150"/>
            </w:tcMar>
          </w:tcPr>
          <w:p>
            <w:pPr>
              <w:spacing w:after="70"/>
            </w:pPr>
            <w:r>
              <w:rPr>
                <w:rFonts w:ascii="Calibri" w:cs="Calibri" w:eastAsia="Calibri" w:hAnsi="Calibri"/>
                <w:b/>
                <w:bCs/>
                <w:i w:val="false"/>
                <w:iCs w:val="false"/>
                <w:color w:val="000000"/>
                <w:sz w:val="19"/>
                <w:szCs w:val="19"/>
              </w:rPr>
              <w:t xml:space="preserve">Summary of the revision in one paragraph</w:t>
            </w:r>
          </w:p>
          <w:p>
            <w:pPr>
              <w:spacing w:after="40" w:before="40"/>
            </w:pPr>
            <w:r>
              <w:rPr>
                <w:rFonts w:ascii="Calibri" w:cs="Calibri" w:eastAsia="Calibri" w:hAnsi="Calibri"/>
                <w:b w:val="false"/>
                <w:bCs w:val="false"/>
                <w:i w:val="false"/>
                <w:iCs w:val="false"/>
                <w:color w:val="000000"/>
                <w:sz w:val="18"/>
                <w:szCs w:val="18"/>
              </w:rPr>
              <w:t xml:space="preserve">v5.0 changes the target network from MobileNetV3-Minimalistic to YOLOv8n on utilization grounds, withdraws the v4.8 65% scope trim after establishing that three of the trimmed operators require no datapath, fixes the LUT-SiLU placement by a table-depth argument, adds four modules the trim had removed, adds physical characterisation as a first-class deliverable, and states the throughput bound as a claim boundary rather than a results footnote. The compute spine — array, SDDU, accumulator, requantisation — is unchanged.</w:t>
            </w:r>
          </w:p>
        </w:tc>
      </w:tr>
    </w:tbl>
    <w:p>
      <w:r>
        <w:br w:type="page"/>
      </w:r>
    </w:p>
    <w:p>
      <w:pPr>
        <w:pStyle w:val="Heading1"/>
        <w:spacing w:after="140" w:before="300"/>
      </w:pPr>
      <w:r>
        <w:rPr>
          <w:rFonts w:ascii="Calibri" w:cs="Calibri" w:eastAsia="Calibri" w:hAnsi="Calibri"/>
          <w:b/>
          <w:bCs/>
          <w:color w:val="1F3864"/>
          <w:sz w:val="30"/>
          <w:szCs w:val="30"/>
        </w:rPr>
        <w:t xml:space="preserve">1. Change Summary Table</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1100"/>
        <w:gridCol w:w="1500"/>
        <w:gridCol w:w="4200"/>
        <w:gridCol w:w="2560"/>
      </w:tblGrid>
      <w:tr>
        <w:trPr>
          <w:tblHeader/>
        </w:trPr>
        <w:tc>
          <w:tcPr>
            <w:tcW w:type="dxa" w:w="11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6"/>
                <w:szCs w:val="16"/>
              </w:rPr>
              <w:t xml:space="preserve">ID</w:t>
            </w:r>
          </w:p>
        </w:tc>
        <w:tc>
          <w:tcPr>
            <w:tcW w:type="dxa" w:w="15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6"/>
                <w:szCs w:val="16"/>
              </w:rPr>
              <w:t xml:space="preserve">Category</w:t>
            </w:r>
          </w:p>
        </w:tc>
        <w:tc>
          <w:tcPr>
            <w:tcW w:type="dxa" w:w="42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6"/>
                <w:szCs w:val="16"/>
              </w:rPr>
              <w:t xml:space="preserve">Change</w:t>
            </w:r>
          </w:p>
        </w:tc>
        <w:tc>
          <w:tcPr>
            <w:tcW w:type="dxa" w:w="25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6"/>
                <w:szCs w:val="16"/>
              </w:rPr>
              <w:t xml:space="preserve">Impact</w:t>
            </w:r>
          </w:p>
        </w:tc>
      </w:tr>
      <w:tr>
        <w:trPr>
          <w:tblHeader w:val="false"/>
        </w:trPr>
        <w:tc>
          <w:tcPr>
            <w:tcW w:type="dxa" w:w="11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CR-01</w:t>
            </w:r>
          </w:p>
        </w:tc>
        <w:tc>
          <w:tcPr>
            <w:tcW w:type="dxa" w:w="1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Target</w:t>
            </w:r>
          </w:p>
        </w:tc>
        <w:tc>
          <w:tcPr>
            <w:tcW w:type="dxa" w:w="4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Target network changed from MobileNetV3-Minimalistic to YOLOv8n</w:t>
            </w:r>
          </w:p>
        </w:tc>
        <w:tc>
          <w:tcPr>
            <w:tcW w:type="dxa" w:w="2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Replaces</w:t>
            </w:r>
          </w:p>
        </w:tc>
      </w:tr>
      <w:tr>
        <w:trPr>
          <w:tblHeader w:val="false"/>
        </w:trPr>
        <w:tc>
          <w:tcPr>
            <w:tcW w:type="dxa" w:w="11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CR-02</w:t>
            </w:r>
          </w:p>
        </w:tc>
        <w:tc>
          <w:tcPr>
            <w:tcW w:type="dxa" w:w="1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Scope</w:t>
            </w:r>
          </w:p>
        </w:tc>
        <w:tc>
          <w:tcPr>
            <w:tcW w:type="dxa" w:w="4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65% scope trim withdrawn; full specification restored</w:t>
            </w:r>
          </w:p>
        </w:tc>
        <w:tc>
          <w:tcPr>
            <w:tcW w:type="dxa" w:w="2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Restores</w:t>
            </w:r>
          </w:p>
        </w:tc>
      </w:tr>
      <w:tr>
        <w:trPr>
          <w:tblHeader w:val="false"/>
        </w:trPr>
        <w:tc>
          <w:tcPr>
            <w:tcW w:type="dxa" w:w="11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CR-03</w:t>
            </w:r>
          </w:p>
        </w:tc>
        <w:tc>
          <w:tcPr>
            <w:tcW w:type="dxa" w:w="1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Scope</w:t>
            </w:r>
          </w:p>
        </w:tc>
        <w:tc>
          <w:tcPr>
            <w:tcW w:type="dxa" w:w="4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Three-bucket operator classification introduced</w:t>
            </w:r>
          </w:p>
        </w:tc>
        <w:tc>
          <w:tcPr>
            <w:tcW w:type="dxa" w:w="2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Adds method</w:t>
            </w:r>
          </w:p>
        </w:tc>
      </w:tr>
      <w:tr>
        <w:trPr>
          <w:tblHeader w:val="false"/>
        </w:trPr>
        <w:tc>
          <w:tcPr>
            <w:tcW w:type="dxa" w:w="11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CR-04</w:t>
            </w:r>
          </w:p>
        </w:tc>
        <w:tc>
          <w:tcPr>
            <w:tcW w:type="dxa" w:w="1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Datapath</w:t>
            </w:r>
          </w:p>
        </w:tc>
        <w:tc>
          <w:tcPr>
            <w:tcW w:type="dxa" w:w="4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LUT-SiLU added to the drain path</w:t>
            </w:r>
          </w:p>
        </w:tc>
        <w:tc>
          <w:tcPr>
            <w:tcW w:type="dxa" w:w="2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Adds module</w:t>
            </w:r>
          </w:p>
        </w:tc>
      </w:tr>
      <w:tr>
        <w:trPr>
          <w:tblHeader w:val="false"/>
        </w:trPr>
        <w:tc>
          <w:tcPr>
            <w:tcW w:type="dxa" w:w="11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CR-05</w:t>
            </w:r>
          </w:p>
        </w:tc>
        <w:tc>
          <w:tcPr>
            <w:tcW w:type="dxa" w:w="1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Datapath</w:t>
            </w:r>
          </w:p>
        </w:tc>
        <w:tc>
          <w:tcPr>
            <w:tcW w:type="dxa" w:w="4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SiLU placement fixed after requantisation by table-depth argument</w:t>
            </w:r>
          </w:p>
        </w:tc>
        <w:tc>
          <w:tcPr>
            <w:tcW w:type="dxa" w:w="2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Confirms existing</w:t>
            </w:r>
          </w:p>
        </w:tc>
      </w:tr>
      <w:tr>
        <w:trPr>
          <w:tblHeader w:val="false"/>
        </w:trPr>
        <w:tc>
          <w:tcPr>
            <w:tcW w:type="dxa" w:w="11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CR-06</w:t>
            </w:r>
          </w:p>
        </w:tc>
        <w:tc>
          <w:tcPr>
            <w:tcW w:type="dxa" w:w="1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Datapath</w:t>
            </w:r>
          </w:p>
        </w:tc>
        <w:tc>
          <w:tcPr>
            <w:tcW w:type="dxa" w:w="4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Maxpool / SPPF engine added</w:t>
            </w:r>
          </w:p>
        </w:tc>
        <w:tc>
          <w:tcPr>
            <w:tcW w:type="dxa" w:w="2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Adds module</w:t>
            </w:r>
          </w:p>
        </w:tc>
      </w:tr>
      <w:tr>
        <w:trPr>
          <w:tblHeader w:val="false"/>
        </w:trPr>
        <w:tc>
          <w:tcPr>
            <w:tcW w:type="dxa" w:w="11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CR-07</w:t>
            </w:r>
          </w:p>
        </w:tc>
        <w:tc>
          <w:tcPr>
            <w:tcW w:type="dxa" w:w="1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Datapath</w:t>
            </w:r>
          </w:p>
        </w:tc>
        <w:tc>
          <w:tcPr>
            <w:tcW w:type="dxa" w:w="4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Elementwise / residual unit added</w:t>
            </w:r>
          </w:p>
        </w:tc>
        <w:tc>
          <w:tcPr>
            <w:tcW w:type="dxa" w:w="2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Adds module</w:t>
            </w:r>
          </w:p>
        </w:tc>
      </w:tr>
      <w:tr>
        <w:trPr>
          <w:tblHeader w:val="false"/>
        </w:trPr>
        <w:tc>
          <w:tcPr>
            <w:tcW w:type="dxa" w:w="11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CR-08</w:t>
            </w:r>
          </w:p>
        </w:tc>
        <w:tc>
          <w:tcPr>
            <w:tcW w:type="dxa" w:w="1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Datapath</w:t>
            </w:r>
          </w:p>
        </w:tc>
        <w:tc>
          <w:tcPr>
            <w:tcW w:type="dxa" w:w="4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Detect-head convolution path added</w:t>
            </w:r>
          </w:p>
        </w:tc>
        <w:tc>
          <w:tcPr>
            <w:tcW w:type="dxa" w:w="2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Adds path</w:t>
            </w:r>
          </w:p>
        </w:tc>
      </w:tr>
      <w:tr>
        <w:trPr>
          <w:tblHeader w:val="false"/>
        </w:trPr>
        <w:tc>
          <w:tcPr>
            <w:tcW w:type="dxa" w:w="11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CR-09</w:t>
            </w:r>
          </w:p>
        </w:tc>
        <w:tc>
          <w:tcPr>
            <w:tcW w:type="dxa" w:w="1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Datapath</w:t>
            </w:r>
          </w:p>
        </w:tc>
        <w:tc>
          <w:tcPr>
            <w:tcW w:type="dxa" w:w="4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Conv2D window generator and tile sequencer promoted to critical path</w:t>
            </w:r>
          </w:p>
        </w:tc>
        <w:tc>
          <w:tcPr>
            <w:tcW w:type="dxa" w:w="2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Reprioritises</w:t>
            </w:r>
          </w:p>
        </w:tc>
      </w:tr>
      <w:tr>
        <w:trPr>
          <w:tblHeader w:val="false"/>
        </w:trPr>
        <w:tc>
          <w:tcPr>
            <w:tcW w:type="dxa" w:w="11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CR-10</w:t>
            </w:r>
          </w:p>
        </w:tc>
        <w:tc>
          <w:tcPr>
            <w:tcW w:type="dxa" w:w="1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Control</w:t>
            </w:r>
          </w:p>
        </w:tc>
        <w:tc>
          <w:tcPr>
            <w:tcW w:type="dxa" w:w="4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Descriptor ring added</w:t>
            </w:r>
          </w:p>
        </w:tc>
        <w:tc>
          <w:tcPr>
            <w:tcW w:type="dxa" w:w="2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Adds module</w:t>
            </w:r>
          </w:p>
        </w:tc>
      </w:tr>
      <w:tr>
        <w:trPr>
          <w:tblHeader w:val="false"/>
        </w:trPr>
        <w:tc>
          <w:tcPr>
            <w:tcW w:type="dxa" w:w="11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CR-11</w:t>
            </w:r>
          </w:p>
        </w:tc>
        <w:tc>
          <w:tcPr>
            <w:tcW w:type="dxa" w:w="1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Control</w:t>
            </w:r>
          </w:p>
        </w:tc>
        <w:tc>
          <w:tcPr>
            <w:tcW w:type="dxa" w:w="4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Tensor Table added</w:t>
            </w:r>
          </w:p>
        </w:tc>
        <w:tc>
          <w:tcPr>
            <w:tcW w:type="dxa" w:w="2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Adds module</w:t>
            </w:r>
          </w:p>
        </w:tc>
      </w:tr>
      <w:tr>
        <w:trPr>
          <w:tblHeader w:val="false"/>
        </w:trPr>
        <w:tc>
          <w:tcPr>
            <w:tcW w:type="dxa" w:w="11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CR-12</w:t>
            </w:r>
          </w:p>
        </w:tc>
        <w:tc>
          <w:tcPr>
            <w:tcW w:type="dxa" w:w="1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Control</w:t>
            </w:r>
          </w:p>
        </w:tc>
        <w:tc>
          <w:tcPr>
            <w:tcW w:type="dxa" w:w="4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Graph scheduler with branch and rejoin added</w:t>
            </w:r>
          </w:p>
        </w:tc>
        <w:tc>
          <w:tcPr>
            <w:tcW w:type="dxa" w:w="2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Adds module</w:t>
            </w:r>
          </w:p>
        </w:tc>
      </w:tr>
      <w:tr>
        <w:trPr>
          <w:tblHeader w:val="false"/>
        </w:trPr>
        <w:tc>
          <w:tcPr>
            <w:tcW w:type="dxa" w:w="11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CR-13</w:t>
            </w:r>
          </w:p>
        </w:tc>
        <w:tc>
          <w:tcPr>
            <w:tcW w:type="dxa" w:w="1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Control</w:t>
            </w:r>
          </w:p>
        </w:tc>
        <w:tc>
          <w:tcPr>
            <w:tcW w:type="dxa" w:w="4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C2f block sequencer added</w:t>
            </w:r>
          </w:p>
        </w:tc>
        <w:tc>
          <w:tcPr>
            <w:tcW w:type="dxa" w:w="2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Adds module</w:t>
            </w:r>
          </w:p>
        </w:tc>
      </w:tr>
      <w:tr>
        <w:trPr>
          <w:tblHeader w:val="false"/>
        </w:trPr>
        <w:tc>
          <w:tcPr>
            <w:tcW w:type="dxa" w:w="11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CR-14</w:t>
            </w:r>
          </w:p>
        </w:tc>
        <w:tc>
          <w:tcPr>
            <w:tcW w:type="dxa" w:w="1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Control</w:t>
            </w:r>
          </w:p>
        </w:tc>
        <w:tc>
          <w:tcPr>
            <w:tcW w:type="dxa" w:w="4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Interrupt logic added</w:t>
            </w:r>
          </w:p>
        </w:tc>
        <w:tc>
          <w:tcPr>
            <w:tcW w:type="dxa" w:w="2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Adds module</w:t>
            </w:r>
          </w:p>
        </w:tc>
      </w:tr>
      <w:tr>
        <w:trPr>
          <w:tblHeader w:val="false"/>
        </w:trPr>
        <w:tc>
          <w:tcPr>
            <w:tcW w:type="dxa" w:w="11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CR-15</w:t>
            </w:r>
          </w:p>
        </w:tc>
        <w:tc>
          <w:tcPr>
            <w:tcW w:type="dxa" w:w="1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Control</w:t>
            </w:r>
          </w:p>
        </w:tc>
        <w:tc>
          <w:tcPr>
            <w:tcW w:type="dxa" w:w="4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Full performance counter set added</w:t>
            </w:r>
          </w:p>
        </w:tc>
        <w:tc>
          <w:tcPr>
            <w:tcW w:type="dxa" w:w="2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Extends</w:t>
            </w:r>
          </w:p>
        </w:tc>
      </w:tr>
      <w:tr>
        <w:trPr>
          <w:tblHeader w:val="false"/>
        </w:trPr>
        <w:tc>
          <w:tcPr>
            <w:tcW w:type="dxa" w:w="11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CR-16</w:t>
            </w:r>
          </w:p>
        </w:tc>
        <w:tc>
          <w:tcPr>
            <w:tcW w:type="dxa" w:w="1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Memory</w:t>
            </w:r>
          </w:p>
        </w:tc>
        <w:tc>
          <w:tcPr>
            <w:tcW w:type="dxa" w:w="4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DMA arbiter added</w:t>
            </w:r>
          </w:p>
        </w:tc>
        <w:tc>
          <w:tcPr>
            <w:tcW w:type="dxa" w:w="2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Adds module</w:t>
            </w:r>
          </w:p>
        </w:tc>
      </w:tr>
      <w:tr>
        <w:trPr>
          <w:tblHeader w:val="false"/>
        </w:trPr>
        <w:tc>
          <w:tcPr>
            <w:tcW w:type="dxa" w:w="11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CR-17</w:t>
            </w:r>
          </w:p>
        </w:tc>
        <w:tc>
          <w:tcPr>
            <w:tcW w:type="dxa" w:w="1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Memory</w:t>
            </w:r>
          </w:p>
        </w:tc>
        <w:tc>
          <w:tcPr>
            <w:tcW w:type="dxa" w:w="4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Bias/quant SRAM and residual SRAM added</w:t>
            </w:r>
          </w:p>
        </w:tc>
        <w:tc>
          <w:tcPr>
            <w:tcW w:type="dxa" w:w="2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Adds memory</w:t>
            </w:r>
          </w:p>
        </w:tc>
      </w:tr>
      <w:tr>
        <w:trPr>
          <w:tblHeader w:val="false"/>
        </w:trPr>
        <w:tc>
          <w:tcPr>
            <w:tcW w:type="dxa" w:w="11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CR-18</w:t>
            </w:r>
          </w:p>
        </w:tc>
        <w:tc>
          <w:tcPr>
            <w:tcW w:type="dxa" w:w="1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Memory</w:t>
            </w:r>
          </w:p>
        </w:tc>
        <w:tc>
          <w:tcPr>
            <w:tcW w:type="dxa" w:w="4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LUT SRAM added with DMA reload path</w:t>
            </w:r>
          </w:p>
        </w:tc>
        <w:tc>
          <w:tcPr>
            <w:tcW w:type="dxa" w:w="2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Adds memory</w:t>
            </w:r>
          </w:p>
        </w:tc>
      </w:tr>
      <w:tr>
        <w:trPr>
          <w:tblHeader w:val="false"/>
        </w:trPr>
        <w:tc>
          <w:tcPr>
            <w:tcW w:type="dxa" w:w="11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CR-19</w:t>
            </w:r>
          </w:p>
        </w:tc>
        <w:tc>
          <w:tcPr>
            <w:tcW w:type="dxa" w:w="1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Operators</w:t>
            </w:r>
          </w:p>
        </w:tc>
        <w:tc>
          <w:tcPr>
            <w:tcW w:type="dxa" w:w="4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concat, split, upsample reclassified from engines to addressing</w:t>
            </w:r>
          </w:p>
        </w:tc>
        <w:tc>
          <w:tcPr>
            <w:tcW w:type="dxa" w:w="2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Removes modules</w:t>
            </w:r>
          </w:p>
        </w:tc>
      </w:tr>
      <w:tr>
        <w:trPr>
          <w:tblHeader w:val="false"/>
        </w:trPr>
        <w:tc>
          <w:tcPr>
            <w:tcW w:type="dxa" w:w="11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CR-20</w:t>
            </w:r>
          </w:p>
        </w:tc>
        <w:tc>
          <w:tcPr>
            <w:tcW w:type="dxa" w:w="1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Verification</w:t>
            </w:r>
          </w:p>
        </w:tc>
        <w:tc>
          <w:tcPr>
            <w:tcW w:type="dxa" w:w="4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Synthesis, timing, area, power and utilization added</w:t>
            </w:r>
          </w:p>
        </w:tc>
        <w:tc>
          <w:tcPr>
            <w:tcW w:type="dxa" w:w="2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Adds phase</w:t>
            </w:r>
          </w:p>
        </w:tc>
      </w:tr>
      <w:tr>
        <w:trPr>
          <w:tblHeader w:val="false"/>
        </w:trPr>
        <w:tc>
          <w:tcPr>
            <w:tcW w:type="dxa" w:w="11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CR-21</w:t>
            </w:r>
          </w:p>
        </w:tc>
        <w:tc>
          <w:tcPr>
            <w:tcW w:type="dxa" w:w="1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Verification</w:t>
            </w:r>
          </w:p>
        </w:tc>
        <w:tc>
          <w:tcPr>
            <w:tcW w:type="dxa" w:w="4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MAC-active counter defined to exclude padding and masked lanes</w:t>
            </w:r>
          </w:p>
        </w:tc>
        <w:tc>
          <w:tcPr>
            <w:tcW w:type="dxa" w:w="2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Corrects</w:t>
            </w:r>
          </w:p>
        </w:tc>
      </w:tr>
      <w:tr>
        <w:trPr>
          <w:tblHeader w:val="false"/>
        </w:trPr>
        <w:tc>
          <w:tcPr>
            <w:tcW w:type="dxa" w:w="11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CR-22</w:t>
            </w:r>
          </w:p>
        </w:tc>
        <w:tc>
          <w:tcPr>
            <w:tcW w:type="dxa" w:w="1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Verification</w:t>
            </w:r>
          </w:p>
        </w:tc>
        <w:tc>
          <w:tcPr>
            <w:tcW w:type="dxa" w:w="4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Package integrity smoke test added</w:t>
            </w:r>
          </w:p>
        </w:tc>
        <w:tc>
          <w:tcPr>
            <w:tcW w:type="dxa" w:w="2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Adds test</w:t>
            </w:r>
          </w:p>
        </w:tc>
      </w:tr>
      <w:tr>
        <w:trPr>
          <w:tblHeader w:val="false"/>
        </w:trPr>
        <w:tc>
          <w:tcPr>
            <w:tcW w:type="dxa" w:w="11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CR-23</w:t>
            </w:r>
          </w:p>
        </w:tc>
        <w:tc>
          <w:tcPr>
            <w:tcW w:type="dxa" w:w="1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Claim</w:t>
            </w:r>
          </w:p>
        </w:tc>
        <w:tc>
          <w:tcPr>
            <w:tcW w:type="dxa" w:w="4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Throughput bound promoted to a claim boundary in the abstract</w:t>
            </w:r>
          </w:p>
        </w:tc>
        <w:tc>
          <w:tcPr>
            <w:tcW w:type="dxa" w:w="2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Elevates</w:t>
            </w:r>
          </w:p>
        </w:tc>
      </w:tr>
      <w:tr>
        <w:trPr>
          <w:tblHeader w:val="false"/>
        </w:trPr>
        <w:tc>
          <w:tcPr>
            <w:tcW w:type="dxa" w:w="11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CR-24</w:t>
            </w:r>
          </w:p>
        </w:tc>
        <w:tc>
          <w:tcPr>
            <w:tcW w:type="dxa" w:w="1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Claim</w:t>
            </w:r>
          </w:p>
        </w:tc>
        <w:tc>
          <w:tcPr>
            <w:tcW w:type="dxa" w:w="4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Real-time detection added to the no-go claim list</w:t>
            </w:r>
          </w:p>
        </w:tc>
        <w:tc>
          <w:tcPr>
            <w:tcW w:type="dxa" w:w="2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Adds prohibition</w:t>
            </w:r>
          </w:p>
        </w:tc>
      </w:tr>
      <w:tr>
        <w:trPr>
          <w:tblHeader w:val="false"/>
        </w:trPr>
        <w:tc>
          <w:tcPr>
            <w:tcW w:type="dxa" w:w="11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CR-25</w:t>
            </w:r>
          </w:p>
        </w:tc>
        <w:tc>
          <w:tcPr>
            <w:tcW w:type="dxa" w:w="1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Process</w:t>
            </w:r>
          </w:p>
        </w:tc>
        <w:tc>
          <w:tcPr>
            <w:tcW w:type="dxa" w:w="4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Branch-and-PR discipline made a binding requirement</w:t>
            </w:r>
          </w:p>
        </w:tc>
        <w:tc>
          <w:tcPr>
            <w:tcW w:type="dxa" w:w="2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Adds control</w:t>
            </w:r>
          </w:p>
        </w:tc>
      </w:tr>
    </w:tbl>
    <w:p>
      <w:r>
        <w:br w:type="page"/>
      </w:r>
    </w:p>
    <w:p>
      <w:pPr>
        <w:pStyle w:val="Heading1"/>
        <w:spacing w:after="140" w:before="300"/>
      </w:pPr>
      <w:r>
        <w:rPr>
          <w:rFonts w:ascii="Calibri" w:cs="Calibri" w:eastAsia="Calibri" w:hAnsi="Calibri"/>
          <w:b/>
          <w:bCs/>
          <w:color w:val="1F3864"/>
          <w:sz w:val="30"/>
          <w:szCs w:val="30"/>
        </w:rPr>
        <w:t xml:space="preserve">2. Target and Scope Changes</w:t>
      </w:r>
    </w:p>
    <w:p>
      <w:pPr>
        <w:pStyle w:val="Heading2"/>
        <w:spacing w:after="100" w:before="220"/>
      </w:pPr>
      <w:r>
        <w:rPr>
          <w:rFonts w:ascii="Calibri" w:cs="Calibri" w:eastAsia="Calibri" w:hAnsi="Calibri"/>
          <w:b/>
          <w:bCs/>
          <w:color w:val="1F3864"/>
          <w:sz w:val="23"/>
          <w:szCs w:val="23"/>
        </w:rPr>
        <w:t xml:space="preserve">CR-01 — Target network changed to YOLOv8n</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000"/>
        <w:gridCol w:w="7360"/>
      </w:tblGrid>
      <w:tr>
        <w:trPr>
          <w:tblHeader/>
        </w:trPr>
        <w:tc>
          <w:tcPr>
            <w:tcW w:type="dxa" w:w="20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Field</w:t>
            </w:r>
          </w:p>
        </w:tc>
        <w:tc>
          <w:tcPr>
            <w:tcW w:type="dxa" w:w="73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Detail</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v4.8 behaviour</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Target network was MobileNetV3-Minimalistic, chosen partly because its ReLU-based activation avoided the need for a SiLU datapath.</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v5.0 behaviour</w:t>
            </w:r>
          </w:p>
        </w:tc>
        <w:tc>
          <w:tcPr>
            <w:tcW w:type="dxa" w:w="7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Target network is YOLOv8n.</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Justification</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MobileNetV3 is dominated by depthwise-separable convolution. On a weight-stationary GEMM array a depthwise convolution collapses to approximately 1/N utilization — an eight-wide array running at single-lane efficiency — unless mapped by dedicated logic that was never scoped. YOLOv8n uses standard 3×3 and 1×1 convolution throughout, which maps directly onto the existing tiled GEMM core.</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What it costs</w:t>
            </w:r>
          </w:p>
        </w:tc>
        <w:tc>
          <w:tcPr>
            <w:tcW w:type="dxa" w:w="7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One new activation block (CR-04) and one new pooling engine (CR-06). MobileNetV3 avoided the first but charged a depthwise mapping problem instead, which is the worse trade.</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Documents affected</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Architecture Specification Ch. 1–3; RTL Specification §1.4; 36-Week Plan §3.</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Modules affected</w:t>
            </w:r>
          </w:p>
        </w:tc>
        <w:tc>
          <w:tcPr>
            <w:tcW w:type="dxa" w:w="7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None removed. lut_silu and maxpool_unit added.</w:t>
            </w:r>
          </w:p>
        </w:tc>
      </w:tr>
    </w:tbl>
    <w:p>
      <w:pPr>
        <w:pStyle w:val="Heading2"/>
        <w:spacing w:after="100" w:before="220"/>
      </w:pPr>
      <w:r>
        <w:rPr>
          <w:rFonts w:ascii="Calibri" w:cs="Calibri" w:eastAsia="Calibri" w:hAnsi="Calibri"/>
          <w:b/>
          <w:bCs/>
          <w:color w:val="1F3864"/>
          <w:sz w:val="23"/>
          <w:szCs w:val="23"/>
        </w:rPr>
        <w:t xml:space="preserve">CR-02 — Scope trim withdrawn</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000"/>
        <w:gridCol w:w="7360"/>
      </w:tblGrid>
      <w:tr>
        <w:trPr>
          <w:tblHeader/>
        </w:trPr>
        <w:tc>
          <w:tcPr>
            <w:tcW w:type="dxa" w:w="20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Field</w:t>
            </w:r>
          </w:p>
        </w:tc>
        <w:tc>
          <w:tcPr>
            <w:tcW w:type="dxa" w:w="73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Detail</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v4.8 behaviour</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Approximately 65% of the architecture specification was cut to protect the April deadline, leaving roughly 14 modules in scope.</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v5.0 behaviour</w:t>
            </w:r>
          </w:p>
        </w:tc>
        <w:tc>
          <w:tcPr>
            <w:tcW w:type="dxa" w:w="7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The complete specification is in scope. There is no deferred tier.</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Justification</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Two independent grounds. First, the trim priced concat, split and upsample as three engines; the three-bucket analysis (CR-03) establishes they are addressing operations costing no datapath. A substantial fraction of the trimmed scope was therefore priced wrongly. Second, measured team velocity across 1 July – 17 August — 16 RTL modules, 17 testbenches and a golden-model stack in 6.7 calendar weeks — supports a larger scope than the trim assumed.</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What it costs</w:t>
            </w:r>
          </w:p>
        </w:tc>
        <w:tc>
          <w:tcPr>
            <w:tcW w:type="dxa" w:w="7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Approximately 16 additional active weeks, absorbed by the 36-week schedule with terminal margin.</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Risk</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This is the highest-risk change in the register. It is gated on the Week 1 checkpoint; if the integration debug term exceeds estimate, the pre-approved fallback restores the trimmed subset plus the addressing operators.</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Documents affected</w:t>
            </w:r>
          </w:p>
        </w:tc>
        <w:tc>
          <w:tcPr>
            <w:tcW w:type="dxa" w:w="7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All three v5.0 documents.</w:t>
            </w:r>
          </w:p>
        </w:tc>
      </w:tr>
    </w:tbl>
    <w:p>
      <w:pPr>
        <w:pStyle w:val="Heading2"/>
        <w:spacing w:after="100" w:before="220"/>
      </w:pPr>
      <w:r>
        <w:rPr>
          <w:rFonts w:ascii="Calibri" w:cs="Calibri" w:eastAsia="Calibri" w:hAnsi="Calibri"/>
          <w:b/>
          <w:bCs/>
          <w:color w:val="1F3864"/>
          <w:sz w:val="23"/>
          <w:szCs w:val="23"/>
        </w:rPr>
        <w:t xml:space="preserve">CR-03 — Three-bucket operator classification</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000"/>
        <w:gridCol w:w="7360"/>
      </w:tblGrid>
      <w:tr>
        <w:trPr>
          <w:tblHeader/>
        </w:trPr>
        <w:tc>
          <w:tcPr>
            <w:tcW w:type="dxa" w:w="20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Field</w:t>
            </w:r>
          </w:p>
        </w:tc>
        <w:tc>
          <w:tcPr>
            <w:tcW w:type="dxa" w:w="73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Detail</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v4.8 behaviour</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Operators were listed as primary targets without a cost model. Each unimplemented operator was implicitly assumed to require a datapath engine.</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v5.0 behaviour</w:t>
            </w:r>
          </w:p>
        </w:tc>
        <w:tc>
          <w:tcPr>
            <w:tcW w:type="dxa" w:w="7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Every operator is classified into exactly one of three attachment buckets — drain path, between-layer engine, or addressing only — and the bucket determines its implementation cost.</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Justification</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The classification is the analytical basis for CR-02 and CR-19. Without it, the scope decision is a guess. With it, the cost of every remaining operator is derivable before any RTL is written.</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What it costs</w:t>
            </w:r>
          </w:p>
        </w:tc>
        <w:tc>
          <w:tcPr>
            <w:tcW w:type="dxa" w:w="7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Nothing. It is a method, not a module.</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Documents affected</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Architecture Specification Ch. 3 (new chapter).</w:t>
            </w:r>
          </w:p>
        </w:tc>
      </w:tr>
    </w:tbl>
    <w:p>
      <w:r>
        <w:br w:type="page"/>
      </w:r>
    </w:p>
    <w:p>
      <w:pPr>
        <w:pStyle w:val="Heading1"/>
        <w:spacing w:after="140" w:before="300"/>
      </w:pPr>
      <w:r>
        <w:rPr>
          <w:rFonts w:ascii="Calibri" w:cs="Calibri" w:eastAsia="Calibri" w:hAnsi="Calibri"/>
          <w:b/>
          <w:bCs/>
          <w:color w:val="1F3864"/>
          <w:sz w:val="30"/>
          <w:szCs w:val="30"/>
        </w:rPr>
        <w:t xml:space="preserve">3. Datapath Changes</w:t>
      </w:r>
    </w:p>
    <w:p>
      <w:pPr>
        <w:pStyle w:val="Heading2"/>
        <w:spacing w:after="100" w:before="220"/>
      </w:pPr>
      <w:r>
        <w:rPr>
          <w:rFonts w:ascii="Calibri" w:cs="Calibri" w:eastAsia="Calibri" w:hAnsi="Calibri"/>
          <w:b/>
          <w:bCs/>
          <w:color w:val="1F3864"/>
          <w:sz w:val="23"/>
          <w:szCs w:val="23"/>
        </w:rPr>
        <w:t xml:space="preserve">CR-04 — LUT-SiLU added to the drain path</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000"/>
        <w:gridCol w:w="7360"/>
      </w:tblGrid>
      <w:tr>
        <w:trPr>
          <w:tblHeader/>
        </w:trPr>
        <w:tc>
          <w:tcPr>
            <w:tcW w:type="dxa" w:w="20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Field</w:t>
            </w:r>
          </w:p>
        </w:tc>
        <w:tc>
          <w:tcPr>
            <w:tcW w:type="dxa" w:w="73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Detail</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v4.8 behaviour</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LUT-SiLU listed as a primary target with no sizing, placement or load path defined.</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v5.0 behaviour</w:t>
            </w:r>
          </w:p>
        </w:tc>
        <w:tc>
          <w:tcPr>
            <w:tcW w:type="dxa" w:w="7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 256-entry table held in SRAM, indexed by the post-requantisation INT8 code, loaded by DMA at layer start from a new lut_base descriptor field.</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Justification</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SiLU is per-element. Implementing it in software would round-trip every activation tensor to the host between layers, destroying the layer chaining that makes the accumulator and requantisation pipeline worth having. It is therefore the one YOLO-specific operator that must be hardware.</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What it costs</w:t>
            </w:r>
          </w:p>
        </w:tc>
        <w:tc>
          <w:tcPr>
            <w:tcW w:type="dxa" w:w="7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One small datapath block, a 256-byte SRAM, one descriptor field and a DMA load path. Approximately one week.</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Modules affected</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lut_silu (new), lut_sram (new), activation unit extended, descriptor_t extended.</w:t>
            </w:r>
          </w:p>
        </w:tc>
      </w:tr>
    </w:tbl>
    <w:p>
      <w:pPr>
        <w:pStyle w:val="Heading2"/>
        <w:spacing w:after="100" w:before="220"/>
      </w:pPr>
      <w:r>
        <w:rPr>
          <w:rFonts w:ascii="Calibri" w:cs="Calibri" w:eastAsia="Calibri" w:hAnsi="Calibri"/>
          <w:b/>
          <w:bCs/>
          <w:color w:val="1F3864"/>
          <w:sz w:val="23"/>
          <w:szCs w:val="23"/>
        </w:rPr>
        <w:t xml:space="preserve">CR-05 — SiLU placement fixed after requantisation</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000"/>
        <w:gridCol w:w="7360"/>
      </w:tblGrid>
      <w:tr>
        <w:trPr>
          <w:tblHeader/>
        </w:trPr>
        <w:tc>
          <w:tcPr>
            <w:tcW w:type="dxa" w:w="20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Field</w:t>
            </w:r>
          </w:p>
        </w:tc>
        <w:tc>
          <w:tcPr>
            <w:tcW w:type="dxa" w:w="73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Detail</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v4.8 behaviour</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Activation-after-requantisation was already the specified ordering, chosen on quantisation grounds.</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v5.0 behaviour</w:t>
            </w:r>
          </w:p>
        </w:tc>
        <w:tc>
          <w:tcPr>
            <w:tcW w:type="dxa" w:w="7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Unchanged, but now recorded as load-bearing and not revisable.</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Justification</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Indexing the INT8 code requires 2⁸ = 256 entries: a 256-byte table, smaller than one row of the accumulation buffer. Indexing the INT33 accumulator would require 2³³ = 8,589,934,592 entries, approximately 8.6 GB — physically impossible on an edge device. The existing ordering is therefore the only implementable one.</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Why it is recorded</w:t>
            </w:r>
          </w:p>
        </w:tc>
        <w:tc>
          <w:tcPr>
            <w:tcW w:type="dxa" w:w="7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 future revision that moves activation before requantisation for any other reason would silently make the LUT unimplementable. The dependency must be visible.</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Documents affected</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Architecture Specification Ch. 12; RTL Specification §6.4.</w:t>
            </w:r>
          </w:p>
        </w:tc>
      </w:tr>
    </w:tbl>
    <w:p>
      <w:pPr>
        <w:pStyle w:val="Heading2"/>
        <w:spacing w:after="100" w:before="220"/>
      </w:pPr>
      <w:r>
        <w:rPr>
          <w:rFonts w:ascii="Calibri" w:cs="Calibri" w:eastAsia="Calibri" w:hAnsi="Calibri"/>
          <w:b/>
          <w:bCs/>
          <w:color w:val="1F3864"/>
          <w:sz w:val="23"/>
          <w:szCs w:val="23"/>
        </w:rPr>
        <w:t xml:space="preserve">CR-06 — Maxpool / SPPF engine added</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000"/>
        <w:gridCol w:w="7360"/>
      </w:tblGrid>
      <w:tr>
        <w:trPr>
          <w:tblHeader/>
        </w:trPr>
        <w:tc>
          <w:tcPr>
            <w:tcW w:type="dxa" w:w="20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Field</w:t>
            </w:r>
          </w:p>
        </w:tc>
        <w:tc>
          <w:tcPr>
            <w:tcW w:type="dxa" w:w="73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Detail</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v4.8 behaviour</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Listed as a primary target; cut by the trim.</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v5.0 behaviour</w:t>
            </w:r>
          </w:p>
        </w:tc>
        <w:tc>
          <w:tcPr>
            <w:tcW w:type="dxa" w:w="7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Implemented as a between-layer engine with a compare tree and window sequencer supporting 2×2 and 5×5 windows, plus repeated pooling for SPPF.</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Justification</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Required by YOLOv8n’s SPPF block. Classified as between-layer because a 5×5 window requires 25 spatially distributed elements that are not co-resident in the drain stream; it must therefore read a completed tensor from SRAM.</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What it costs</w:t>
            </w:r>
          </w:p>
        </w:tc>
        <w:tc>
          <w:tcPr>
            <w:tcW w:type="dxa" w:w="7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One engine plus address generation. Approximately one week.</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Modules affected</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maxpool_unit (new).</w:t>
            </w:r>
          </w:p>
        </w:tc>
      </w:tr>
    </w:tbl>
    <w:p>
      <w:pPr>
        <w:pStyle w:val="Heading2"/>
        <w:spacing w:after="100" w:before="220"/>
      </w:pPr>
      <w:r>
        <w:rPr>
          <w:rFonts w:ascii="Calibri" w:cs="Calibri" w:eastAsia="Calibri" w:hAnsi="Calibri"/>
          <w:b/>
          <w:bCs/>
          <w:color w:val="1F3864"/>
          <w:sz w:val="23"/>
          <w:szCs w:val="23"/>
        </w:rPr>
        <w:t xml:space="preserve">CR-07 — Elementwise / residual unit added</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000"/>
        <w:gridCol w:w="7360"/>
      </w:tblGrid>
      <w:tr>
        <w:trPr>
          <w:tblHeader/>
        </w:trPr>
        <w:tc>
          <w:tcPr>
            <w:tcW w:type="dxa" w:w="20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Field</w:t>
            </w:r>
          </w:p>
        </w:tc>
        <w:tc>
          <w:tcPr>
            <w:tcW w:type="dxa" w:w="73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Detail</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v4.8 behaviour</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Residual ADD listed as a primary target; cut by the trim.</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v5.0 behaviour</w:t>
            </w:r>
          </w:p>
        </w:tc>
        <w:tc>
          <w:tcPr>
            <w:tcW w:type="dxa" w:w="7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 drain-path unit performing residual addition with independent input scales, rescaling both operands to a common scale before addition and saturating the result.</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Justification</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Required by YOLOv8n bottleneck blocks. The dual-scale rescaling is the non-obvious part: the two operands generally carry different quantisation scales and naive addition is arithmetically wrong.</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What it costs</w:t>
            </w:r>
          </w:p>
        </w:tc>
        <w:tc>
          <w:tcPr>
            <w:tcW w:type="dxa" w:w="7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One datapath block, one SRAM, one descriptor field. Approximately one week.</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Modules affected</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elementwise_unit (new), residual_sram (new).</w:t>
            </w:r>
          </w:p>
        </w:tc>
      </w:tr>
    </w:tbl>
    <w:p>
      <w:pPr>
        <w:pStyle w:val="Heading2"/>
        <w:spacing w:after="100" w:before="220"/>
      </w:pPr>
      <w:r>
        <w:rPr>
          <w:rFonts w:ascii="Calibri" w:cs="Calibri" w:eastAsia="Calibri" w:hAnsi="Calibri"/>
          <w:b/>
          <w:bCs/>
          <w:color w:val="1F3864"/>
          <w:sz w:val="23"/>
          <w:szCs w:val="23"/>
        </w:rPr>
        <w:t xml:space="preserve">CR-08 — Detect-head convolution path added</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000"/>
        <w:gridCol w:w="7360"/>
      </w:tblGrid>
      <w:tr>
        <w:trPr>
          <w:tblHeader/>
        </w:trPr>
        <w:tc>
          <w:tcPr>
            <w:tcW w:type="dxa" w:w="20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Field</w:t>
            </w:r>
          </w:p>
        </w:tc>
        <w:tc>
          <w:tcPr>
            <w:tcW w:type="dxa" w:w="73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Detail</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v4.8 behaviour</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Detect-head convolution listed as a primary target; cut by the trim.</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v5.0 behaviour</w:t>
            </w:r>
          </w:p>
        </w:tc>
        <w:tc>
          <w:tcPr>
            <w:tcW w:type="dxa" w:w="7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Three-scale convolution reusing the existing core, plus a defined raw tensor export layout.</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Justification</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Without a detect head the accelerator cannot produce a detection result at all, and the demo reduces to feature-map comparison.</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What it costs</w:t>
            </w:r>
          </w:p>
        </w:tc>
        <w:tc>
          <w:tcPr>
            <w:tcW w:type="dxa" w:w="7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No new datapath — the novelty is descriptor sequencing and the export layout contract. Approximately one week.</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Modules affected</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bias_quant_sram (new), descriptor sequencing extended.</w:t>
            </w:r>
          </w:p>
        </w:tc>
      </w:tr>
    </w:tbl>
    <w:p>
      <w:pPr>
        <w:pStyle w:val="Heading2"/>
        <w:spacing w:after="100" w:before="220"/>
      </w:pPr>
      <w:r>
        <w:rPr>
          <w:rFonts w:ascii="Calibri" w:cs="Calibri" w:eastAsia="Calibri" w:hAnsi="Calibri"/>
          <w:b/>
          <w:bCs/>
          <w:color w:val="1F3864"/>
          <w:sz w:val="23"/>
          <w:szCs w:val="23"/>
        </w:rPr>
        <w:t xml:space="preserve">CR-09 — Window generator and tile sequencer promoted to critical path</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000"/>
        <w:gridCol w:w="7360"/>
      </w:tblGrid>
      <w:tr>
        <w:trPr>
          <w:tblHeader/>
        </w:trPr>
        <w:tc>
          <w:tcPr>
            <w:tcW w:type="dxa" w:w="20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Field</w:t>
            </w:r>
          </w:p>
        </w:tc>
        <w:tc>
          <w:tcPr>
            <w:tcW w:type="dxa" w:w="73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Detail</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v4.8 behaviour</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Conv2D window generation scheduled at Week 17 of 32, after baseline integration.</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v5.0 behaviour</w:t>
            </w:r>
          </w:p>
        </w:tc>
        <w:tc>
          <w:tcPr>
            <w:tcW w:type="dxa" w:w="7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Scheduled at Week 1 as the first work item, together with the tile sequencer and weight-load sequencer.</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Justification</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Every subsequent phase depends on a working single-layer path. Scheduling the window generator late means the integration debug term — the single largest unknown in the plan — is measured late. Moving it first converts the plan’s central assumption into a measurement taken in the first week.</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What it costs</w:t>
            </w:r>
          </w:p>
        </w:tc>
        <w:tc>
          <w:tcPr>
            <w:tcW w:type="dxa" w:w="7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Nothing; it is a reordering.</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Open decision</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The padding strategy — zero-beat injection versus downstream write suppression — is unresolved and blocks Week 1 RTL. See Architecture Specification §13.1.</w:t>
            </w:r>
          </w:p>
        </w:tc>
      </w:tr>
    </w:tbl>
    <w:p>
      <w:r>
        <w:br w:type="page"/>
      </w:r>
    </w:p>
    <w:p>
      <w:pPr>
        <w:pStyle w:val="Heading1"/>
        <w:spacing w:after="140" w:before="300"/>
      </w:pPr>
      <w:r>
        <w:rPr>
          <w:rFonts w:ascii="Calibri" w:cs="Calibri" w:eastAsia="Calibri" w:hAnsi="Calibri"/>
          <w:b/>
          <w:bCs/>
          <w:color w:val="1F3864"/>
          <w:sz w:val="30"/>
          <w:szCs w:val="30"/>
        </w:rPr>
        <w:t xml:space="preserve">4. Control Plane Changes</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1100"/>
        <w:gridCol w:w="2200"/>
        <w:gridCol w:w="6060"/>
      </w:tblGrid>
      <w:tr>
        <w:trPr>
          <w:tblHeader/>
        </w:trPr>
        <w:tc>
          <w:tcPr>
            <w:tcW w:type="dxa" w:w="11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ID</w:t>
            </w:r>
          </w:p>
        </w:tc>
        <w:tc>
          <w:tcPr>
            <w:tcW w:type="dxa" w:w="22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Module added</w:t>
            </w:r>
          </w:p>
        </w:tc>
        <w:tc>
          <w:tcPr>
            <w:tcW w:type="dxa" w:w="60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Rationale and cost</w:t>
            </w:r>
          </w:p>
        </w:tc>
      </w:tr>
      <w:tr>
        <w:trPr>
          <w:tblHeader w:val="false"/>
        </w:trPr>
        <w:tc>
          <w:tcPr>
            <w:tcW w:type="dxa" w:w="11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CR-10</w:t>
            </w:r>
          </w:p>
        </w:tc>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descriptor_ring</w:t>
            </w:r>
          </w:p>
        </w:tc>
        <w:tc>
          <w:tcPr>
            <w:tcW w:type="dxa" w:w="60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Queues multiple descriptors so layers execute without host intervention between them. Push, pop, full, empty and wrap. Approximately one week. Cut by the v4.8 trim.</w:t>
            </w:r>
          </w:p>
        </w:tc>
      </w:tr>
      <w:tr>
        <w:trPr>
          <w:tblHeader w:val="false"/>
        </w:trPr>
        <w:tc>
          <w:tcPr>
            <w:tcW w:type="dxa" w:w="11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CR-11</w:t>
            </w:r>
          </w:p>
        </w:tc>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tensor_table</w:t>
            </w:r>
          </w:p>
        </w:tc>
        <w:tc>
          <w:tcPr>
            <w:tcW w:type="dxa" w:w="60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Resolves tensor_id to base, shape and stride with consumer-count lifetime tracking. Required for branch topologies where a tensor has multiple consumers. Approximately one week.</w:t>
            </w:r>
          </w:p>
        </w:tc>
      </w:tr>
      <w:tr>
        <w:trPr>
          <w:tblHeader w:val="false"/>
        </w:trPr>
        <w:tc>
          <w:tcPr>
            <w:tcW w:type="dxa" w:w="11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CR-12</w:t>
            </w:r>
          </w:p>
        </w:tc>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graph_scheduler</w:t>
            </w:r>
          </w:p>
        </w:tc>
        <w:tc>
          <w:tcPr>
            <w:tcW w:type="dxa" w:w="60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In-order issue with dependency tracking, branch fan-out and rejoin synchronisation. Required by C2f and by neck concatenation. Approximately two weeks. Highest-uncertainty control work in the plan.</w:t>
            </w:r>
          </w:p>
        </w:tc>
      </w:tr>
      <w:tr>
        <w:trPr>
          <w:tblHeader w:val="false"/>
        </w:trPr>
        <w:tc>
          <w:tcPr>
            <w:tcW w:type="dxa" w:w="11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CR-13</w:t>
            </w:r>
          </w:p>
        </w:tc>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c2f_sequencer</w:t>
            </w:r>
          </w:p>
        </w:tc>
        <w:tc>
          <w:tcPr>
            <w:tcW w:type="dxa" w:w="60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Sequences split, n bottlenecks, concat and conv. Approximately one week.</w:t>
            </w:r>
          </w:p>
        </w:tc>
      </w:tr>
      <w:tr>
        <w:trPr>
          <w:tblHeader w:val="false"/>
        </w:trPr>
        <w:tc>
          <w:tcPr>
            <w:tcW w:type="dxa" w:w="11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CR-14</w:t>
            </w:r>
          </w:p>
        </w:tc>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interrupt_logic</w:t>
            </w:r>
          </w:p>
        </w:tc>
        <w:tc>
          <w:tcPr>
            <w:tcW w:type="dxa" w:w="60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Done, error and performance events with masking and W1C clearing. Removes the need for host polling. Approximately half a week.</w:t>
            </w:r>
          </w:p>
        </w:tc>
      </w:tr>
      <w:tr>
        <w:trPr>
          <w:tblHeader w:val="false"/>
        </w:trPr>
        <w:tc>
          <w:tcPr>
            <w:tcW w:type="dxa" w:w="11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CR-15</w:t>
            </w:r>
          </w:p>
        </w:tc>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perf_counters (extended)</w:t>
            </w:r>
          </w:p>
        </w:tc>
        <w:tc>
          <w:tcPr>
            <w:tcW w:type="dxa" w:w="60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Full set: total, compute, DMA-wait, stall, writeback and MAC-active cycles. v4.8 specified a partial set. Required for the utilization measurement in CR-20.</w:t>
            </w:r>
          </w:p>
        </w:tc>
      </w:tr>
    </w:tbl>
    <w:p>
      <w:pPr>
        <w:pStyle w:val="Heading1"/>
        <w:spacing w:after="140" w:before="300"/>
      </w:pPr>
      <w:r>
        <w:rPr>
          <w:rFonts w:ascii="Calibri" w:cs="Calibri" w:eastAsia="Calibri" w:hAnsi="Calibri"/>
          <w:b/>
          <w:bCs/>
          <w:color w:val="1F3864"/>
          <w:sz w:val="30"/>
          <w:szCs w:val="30"/>
        </w:rPr>
        <w:t xml:space="preserve">5. Memory System Changes</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1100"/>
        <w:gridCol w:w="2200"/>
        <w:gridCol w:w="6060"/>
      </w:tblGrid>
      <w:tr>
        <w:trPr>
          <w:tblHeader/>
        </w:trPr>
        <w:tc>
          <w:tcPr>
            <w:tcW w:type="dxa" w:w="11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ID</w:t>
            </w:r>
          </w:p>
        </w:tc>
        <w:tc>
          <w:tcPr>
            <w:tcW w:type="dxa" w:w="22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Addition</w:t>
            </w:r>
          </w:p>
        </w:tc>
        <w:tc>
          <w:tcPr>
            <w:tcW w:type="dxa" w:w="60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Rationale and cost</w:t>
            </w:r>
          </w:p>
        </w:tc>
      </w:tr>
      <w:tr>
        <w:trPr>
          <w:tblHeader w:val="false"/>
        </w:trPr>
        <w:tc>
          <w:tcPr>
            <w:tcW w:type="dxa" w:w="11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CR-16</w:t>
            </w:r>
          </w:p>
        </w:tc>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dma_arbiter</w:t>
            </w:r>
          </w:p>
        </w:tc>
        <w:tc>
          <w:tcPr>
            <w:tcW w:type="dxa" w:w="60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Resolves prefetch versus writeback contention with starvation avoidance. Without it, sustained concurrent load can stall compute indefinitely. Approximately one week.</w:t>
            </w:r>
          </w:p>
        </w:tc>
      </w:tr>
      <w:tr>
        <w:trPr>
          <w:tblHeader w:val="false"/>
        </w:trPr>
        <w:tc>
          <w:tcPr>
            <w:tcW w:type="dxa" w:w="11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CR-17</w:t>
            </w:r>
          </w:p>
        </w:tc>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bias_quant_sram, residual_sram</w:t>
            </w:r>
          </w:p>
        </w:tc>
        <w:tc>
          <w:tcPr>
            <w:tcW w:type="dxa" w:w="60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Per-output-channel bias, scale and shift storage; residual second-operand storage. Both were implied by v4.8 but never specified as modules.</w:t>
            </w:r>
          </w:p>
        </w:tc>
      </w:tr>
      <w:tr>
        <w:trPr>
          <w:tblHeader w:val="false"/>
        </w:trPr>
        <w:tc>
          <w:tcPr>
            <w:tcW w:type="dxa" w:w="11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CR-18</w:t>
            </w:r>
          </w:p>
        </w:tc>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lut_sram</w:t>
            </w:r>
          </w:p>
        </w:tc>
        <w:tc>
          <w:tcPr>
            <w:tcW w:type="dxa" w:w="60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256-entry SiLU table with a DMA reload path executed at layer start. New in v5.0, consequent on CR-04.</w:t>
            </w:r>
          </w:p>
        </w:tc>
      </w:tr>
    </w:tbl>
    <w:p>
      <w:r>
        <w:br w:type="page"/>
      </w:r>
    </w:p>
    <w:p>
      <w:pPr>
        <w:pStyle w:val="Heading1"/>
        <w:spacing w:after="140" w:before="300"/>
      </w:pPr>
      <w:r>
        <w:rPr>
          <w:rFonts w:ascii="Calibri" w:cs="Calibri" w:eastAsia="Calibri" w:hAnsi="Calibri"/>
          <w:b/>
          <w:bCs/>
          <w:color w:val="1F3864"/>
          <w:sz w:val="30"/>
          <w:szCs w:val="30"/>
        </w:rPr>
        <w:t xml:space="preserve">6. Operator Reclassification</w:t>
      </w:r>
    </w:p>
    <w:p>
      <w:pPr>
        <w:pStyle w:val="Heading2"/>
        <w:spacing w:after="100" w:before="220"/>
      </w:pPr>
      <w:r>
        <w:rPr>
          <w:rFonts w:ascii="Calibri" w:cs="Calibri" w:eastAsia="Calibri" w:hAnsi="Calibri"/>
          <w:b/>
          <w:bCs/>
          <w:color w:val="1F3864"/>
          <w:sz w:val="23"/>
          <w:szCs w:val="23"/>
        </w:rPr>
        <w:t xml:space="preserve">CR-19 — concat, split and upsample reclassified from engines to addressing</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000"/>
        <w:gridCol w:w="7360"/>
      </w:tblGrid>
      <w:tr>
        <w:trPr>
          <w:tblHeader/>
        </w:trPr>
        <w:tc>
          <w:tcPr>
            <w:tcW w:type="dxa" w:w="20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Field</w:t>
            </w:r>
          </w:p>
        </w:tc>
        <w:tc>
          <w:tcPr>
            <w:tcW w:type="dxa" w:w="73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Detail</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v4.8 behaviour</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Tensor Split Engine, Tensor Concat Engine and Nearest Upsample Engine appeared as three distinct blocks in the master architecture diagram and in the module list.</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v5.0 behaviour</w:t>
            </w:r>
          </w:p>
        </w:tc>
        <w:tc>
          <w:tcPr>
            <w:tcW w:type="dxa" w:w="7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All three are removed from the module list and realised through descriptor base and offset arithmetic. No datapath, no additional cycles.</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Justification</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Concatenation of two tensors along the channel axis is two convolutions writing adjacent regions of one output buffer — the operation exists entirely in the choice of o_base. Splitting is a base-plus-offset read, a tensor view rather than a data movement. Nearest-neighbour upsampling reads each input element multiple times according to a fixed pattern, which is address sequencing rather than arithmetic.</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What it saves</w:t>
            </w:r>
          </w:p>
        </w:tc>
        <w:tc>
          <w:tcPr>
            <w:tcW w:type="dxa" w:w="7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Three engines. This is the single largest scope reduction in the register and is the principal reason CR-02 is affordable.</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Verification requirement</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This is an architectural claim and must be tested, not assumed. TC-CAT-001, TC-SPLIT-001 and TC-UP-001 in Week 10 test it explicitly. If the descriptor cannot express the required arithmetic, the gap is escalated as a descriptor defect and absorbed by the control-plane phase.</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Diagram impact</w:t>
            </w:r>
          </w:p>
        </w:tc>
        <w:tc>
          <w:tcPr>
            <w:tcW w:type="dxa" w:w="7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The three engine blocks are replaced by a single addressing-only group in Figure 1 of the v5.0 Architecture Specification.</w:t>
            </w:r>
          </w:p>
        </w:tc>
      </w:tr>
    </w:tbl>
    <w:p>
      <w:r>
        <w:br w:type="page"/>
      </w:r>
    </w:p>
    <w:p>
      <w:pPr>
        <w:pStyle w:val="Heading1"/>
        <w:spacing w:after="140" w:before="300"/>
      </w:pPr>
      <w:r>
        <w:rPr>
          <w:rFonts w:ascii="Calibri" w:cs="Calibri" w:eastAsia="Calibri" w:hAnsi="Calibri"/>
          <w:b/>
          <w:bCs/>
          <w:color w:val="1F3864"/>
          <w:sz w:val="30"/>
          <w:szCs w:val="30"/>
        </w:rPr>
        <w:t xml:space="preserve">7. Verification and Measurement Changes</w:t>
      </w:r>
    </w:p>
    <w:p>
      <w:pPr>
        <w:pStyle w:val="Heading2"/>
        <w:spacing w:after="100" w:before="220"/>
      </w:pPr>
      <w:r>
        <w:rPr>
          <w:rFonts w:ascii="Calibri" w:cs="Calibri" w:eastAsia="Calibri" w:hAnsi="Calibri"/>
          <w:b/>
          <w:bCs/>
          <w:color w:val="1F3864"/>
          <w:sz w:val="23"/>
          <w:szCs w:val="23"/>
        </w:rPr>
        <w:t xml:space="preserve">CR-20 — Physical characterisation added</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000"/>
        <w:gridCol w:w="7360"/>
      </w:tblGrid>
      <w:tr>
        <w:trPr>
          <w:tblHeader/>
        </w:trPr>
        <w:tc>
          <w:tcPr>
            <w:tcW w:type="dxa" w:w="20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Field</w:t>
            </w:r>
          </w:p>
        </w:tc>
        <w:tc>
          <w:tcPr>
            <w:tcW w:type="dxa" w:w="73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Detail</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v4.8 behaviour</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No synthesis, timing, area, power or utilization work was scheduled. Performance evaluation was limited to cycle counting and CPU comparison.</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v5.0 behaviour</w:t>
            </w:r>
          </w:p>
        </w:tc>
        <w:tc>
          <w:tcPr>
            <w:tcW w:type="dxa" w:w="7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 dedicated four-week phase producing gate count, critical path, maximum frequency, area in mm², power in mW, per-layer array utilization, a 320×320 resolution study and an N=16 analytical scaling projection.</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Justification</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This is an ASIC project. A defence without physical numbers cannot answer the first question a panel asks, and every timing claim made without a synthesis report is unbacked. The utilization measurement additionally supplies the evidence for the scaling analysis that constitutes the project’s architectural contribution.</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What it costs</w:t>
            </w:r>
          </w:p>
        </w:tc>
        <w:tc>
          <w:tcPr>
            <w:tcW w:type="dxa" w:w="7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Four weeks, scheduled before the terminal margin rather than inside it.</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Dependency</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Requires CR-15, because per-layer utilization cannot be measured without a correct MAC-active counter.</w:t>
            </w:r>
          </w:p>
        </w:tc>
      </w:tr>
    </w:tbl>
    <w:p>
      <w:pPr>
        <w:pStyle w:val="Heading2"/>
        <w:spacing w:after="100" w:before="220"/>
      </w:pPr>
      <w:r>
        <w:rPr>
          <w:rFonts w:ascii="Calibri" w:cs="Calibri" w:eastAsia="Calibri" w:hAnsi="Calibri"/>
          <w:b/>
          <w:bCs/>
          <w:color w:val="1F3864"/>
          <w:sz w:val="23"/>
          <w:szCs w:val="23"/>
        </w:rPr>
        <w:t xml:space="preserve">CR-21 — MAC-active counter definition corrected</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000"/>
        <w:gridCol w:w="7360"/>
      </w:tblGrid>
      <w:tr>
        <w:trPr>
          <w:tblHeader/>
        </w:trPr>
        <w:tc>
          <w:tcPr>
            <w:tcW w:type="dxa" w:w="20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Field</w:t>
            </w:r>
          </w:p>
        </w:tc>
        <w:tc>
          <w:tcPr>
            <w:tcW w:type="dxa" w:w="73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Detail</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v4.8 behaviour</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MAC-active cycles were defined loosely as cycles during which the array was computing.</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v5.0 behaviour</w:t>
            </w:r>
          </w:p>
        </w:tc>
        <w:tc>
          <w:tcPr>
            <w:tcW w:type="dxa" w:w="7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MAC-active cycles count only cycles in which at least one PE performs a useful multiply. Padding beats and masked lanes are excluded.</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Justification</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Under the loose definition, a padded 3×3 convolution and a masked partial tile both count as fully utilized, which inflates the reported utilization figure. Because utilization is the evidence base for the scaling argument, this is the most consequential measurement defect available to the project.</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Enforcement</w:t>
            </w:r>
          </w:p>
        </w:tc>
        <w:tc>
          <w:tcPr>
            <w:tcW w:type="dxa" w:w="7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Assertion A-PERF-001 plus a directed test comparing counter output against a hand-computed tile.</w:t>
            </w:r>
          </w:p>
        </w:tc>
      </w:tr>
    </w:tbl>
    <w:p>
      <w:pPr>
        <w:pStyle w:val="Heading2"/>
        <w:spacing w:after="100" w:before="220"/>
      </w:pPr>
      <w:r>
        <w:rPr>
          <w:rFonts w:ascii="Calibri" w:cs="Calibri" w:eastAsia="Calibri" w:hAnsi="Calibri"/>
          <w:b/>
          <w:bCs/>
          <w:color w:val="1F3864"/>
          <w:sz w:val="23"/>
          <w:szCs w:val="23"/>
        </w:rPr>
        <w:t xml:space="preserve">CR-22 — Package integrity smoke test added</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000"/>
        <w:gridCol w:w="7360"/>
      </w:tblGrid>
      <w:tr>
        <w:trPr>
          <w:tblHeader/>
        </w:trPr>
        <w:tc>
          <w:tcPr>
            <w:tcW w:type="dxa" w:w="20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Field</w:t>
            </w:r>
          </w:p>
        </w:tc>
        <w:tc>
          <w:tcPr>
            <w:tcW w:type="dxa" w:w="73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Detail</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v4.8 behaviour</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No test verified the contents of config_pkg.</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v5.0 behaviour</w:t>
            </w:r>
          </w:p>
        </w:tc>
        <w:tc>
          <w:tcPr>
            <w:tcW w:type="dxa" w:w="7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TC-BOOT-001 verifies that every required localparam is present with its expected value before any other test runs.</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Justification</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 file re-upload through the GitHub web UI previously deleted ARRAY_N, ACT_W, WGT_W, OUT_W and ACC_BUFF from config_pkg.sv, breaking four verified modules. The deletion produced no meaningful diff and was therefore invisible in review.</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Related</w:t>
            </w:r>
          </w:p>
        </w:tc>
        <w:tc>
          <w:tcPr>
            <w:tcW w:type="dxa" w:w="7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CR-25 addresses the process cause; this addresses detection.</w:t>
            </w:r>
          </w:p>
        </w:tc>
      </w:tr>
    </w:tbl>
    <w:p>
      <w:r>
        <w:br w:type="page"/>
      </w:r>
    </w:p>
    <w:p>
      <w:pPr>
        <w:pStyle w:val="Heading1"/>
        <w:spacing w:after="140" w:before="300"/>
      </w:pPr>
      <w:r>
        <w:rPr>
          <w:rFonts w:ascii="Calibri" w:cs="Calibri" w:eastAsia="Calibri" w:hAnsi="Calibri"/>
          <w:b/>
          <w:bCs/>
          <w:color w:val="1F3864"/>
          <w:sz w:val="30"/>
          <w:szCs w:val="30"/>
        </w:rPr>
        <w:t xml:space="preserve">8. Claim Boundary Changes</w:t>
      </w:r>
    </w:p>
    <w:p>
      <w:pPr>
        <w:pStyle w:val="Heading2"/>
        <w:spacing w:after="100" w:before="220"/>
      </w:pPr>
      <w:r>
        <w:rPr>
          <w:rFonts w:ascii="Calibri" w:cs="Calibri" w:eastAsia="Calibri" w:hAnsi="Calibri"/>
          <w:b/>
          <w:bCs/>
          <w:color w:val="1F3864"/>
          <w:sz w:val="23"/>
          <w:szCs w:val="23"/>
        </w:rPr>
        <w:t xml:space="preserve">CR-23 — Throughput bound promoted to a claim boundary</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000"/>
        <w:gridCol w:w="7360"/>
      </w:tblGrid>
      <w:tr>
        <w:trPr>
          <w:tblHeader/>
        </w:trPr>
        <w:tc>
          <w:tcPr>
            <w:tcW w:type="dxa" w:w="20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Field</w:t>
            </w:r>
          </w:p>
        </w:tc>
        <w:tc>
          <w:tcPr>
            <w:tcW w:type="dxa" w:w="73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Detail</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v4.8 behaviour</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Peak MAC/cycle was reported analytically; frame time was not stated up front.</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v5.0 behaviour</w:t>
            </w:r>
          </w:p>
        </w:tc>
        <w:tc>
          <w:tcPr>
            <w:tcW w:type="dxa" w:w="7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The full derivation appears in Architecture Specification Chapter 16 and in the thesis abstract: 4.4 GMAC ÷ 64 MAC/cycle ≈ 68.75 M cycles ≈ 0.34 s at 200 MHz with perfect utilization, realistically 1–2 s per frame.</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Justification</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Any reader can derive this in one line. A reader who derives it independently before encountering it in the document has cause to distrust everything around it. Stating it early is a credibility requirement, not a concession.</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Consequence</w:t>
            </w:r>
          </w:p>
        </w:tc>
        <w:tc>
          <w:tcPr>
            <w:tcW w:type="dxa" w:w="7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The stated deliverable is correct INT8 inference plus a characterised scaling analysis, not real-time detection.</w:t>
            </w:r>
          </w:p>
        </w:tc>
      </w:tr>
    </w:tbl>
    <w:p>
      <w:pPr>
        <w:pStyle w:val="Heading2"/>
        <w:spacing w:after="100" w:before="220"/>
      </w:pPr>
      <w:r>
        <w:rPr>
          <w:rFonts w:ascii="Calibri" w:cs="Calibri" w:eastAsia="Calibri" w:hAnsi="Calibri"/>
          <w:b/>
          <w:bCs/>
          <w:color w:val="1F3864"/>
          <w:sz w:val="23"/>
          <w:szCs w:val="23"/>
        </w:rPr>
        <w:t xml:space="preserve">CR-24 — Real-time detection added to the no-go claim list</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000"/>
        <w:gridCol w:w="7360"/>
      </w:tblGrid>
      <w:tr>
        <w:trPr>
          <w:tblHeader/>
        </w:trPr>
        <w:tc>
          <w:tcPr>
            <w:tcW w:type="dxa" w:w="20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Field</w:t>
            </w:r>
          </w:p>
        </w:tc>
        <w:tc>
          <w:tcPr>
            <w:tcW w:type="dxa" w:w="73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Detail</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v4.8 behaviour</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The no-go list prohibited claims of standalone YOLOv8n hardware, hardware decode and NMS, and unmeasured FPS.</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v5.0 behaviour</w:t>
            </w:r>
          </w:p>
        </w:tc>
        <w:tc>
          <w:tcPr>
            <w:tcW w:type="dxa" w:w="7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Real-time detection is added to the prohibited list explicitly, as a consequence of CR-23.</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Note</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The 320×320 resolution study in CR-20 is characterisation, not a real-time claim, and must be described as such.</w:t>
            </w:r>
          </w:p>
        </w:tc>
      </w:tr>
    </w:tbl>
    <w:p>
      <w:pPr>
        <w:pStyle w:val="Heading2"/>
        <w:spacing w:after="100" w:before="220"/>
      </w:pPr>
      <w:r>
        <w:rPr>
          <w:rFonts w:ascii="Calibri" w:cs="Calibri" w:eastAsia="Calibri" w:hAnsi="Calibri"/>
          <w:b/>
          <w:bCs/>
          <w:color w:val="1F3864"/>
          <w:sz w:val="23"/>
          <w:szCs w:val="23"/>
        </w:rPr>
        <w:t xml:space="preserve">CR-25 — Branch-and-pull-request discipline made binding</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000"/>
        <w:gridCol w:w="7360"/>
      </w:tblGrid>
      <w:tr>
        <w:trPr>
          <w:tblHeader/>
        </w:trPr>
        <w:tc>
          <w:tcPr>
            <w:tcW w:type="dxa" w:w="20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Field</w:t>
            </w:r>
          </w:p>
        </w:tc>
        <w:tc>
          <w:tcPr>
            <w:tcW w:type="dxa" w:w="73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Detail</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v4.8 behaviour</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Version control practice was not specified as a requirement.</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v5.0 behaviour</w:t>
            </w:r>
          </w:p>
        </w:tc>
        <w:tc>
          <w:tcPr>
            <w:tcW w:type="dxa" w:w="7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All contributions land via branch and pull request. Direct file re-upload through the GitHub web UI is prohibited without exception. From Week 3, CI runs the full regression on every pull request and blocks merge on failure.</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Justification</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The config_pkg.sv incident described in CR-22 is the direct cause. File-level re-uploads do not produce meaningful diffs, so a deletion of five parameters passed review unnoticed and broke four verified modules.</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Classification</w:t>
            </w:r>
          </w:p>
        </w:tc>
        <w:tc>
          <w:tcPr>
            <w:tcW w:type="dxa" w:w="7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This is the single highest-value process control in the revision and closes the largest identified regression risk.</w:t>
            </w:r>
          </w:p>
        </w:tc>
      </w:tr>
    </w:tbl>
    <w:p>
      <w:r>
        <w:br w:type="page"/>
      </w:r>
    </w:p>
    <w:p>
      <w:pPr>
        <w:pStyle w:val="Heading1"/>
        <w:spacing w:after="140" w:before="300"/>
      </w:pPr>
      <w:r>
        <w:rPr>
          <w:rFonts w:ascii="Calibri" w:cs="Calibri" w:eastAsia="Calibri" w:hAnsi="Calibri"/>
          <w:b/>
          <w:bCs/>
          <w:color w:val="1F3864"/>
          <w:sz w:val="30"/>
          <w:szCs w:val="30"/>
        </w:rPr>
        <w:t xml:space="preserve">9. What Did Not Change</w:t>
      </w:r>
    </w:p>
    <w:p>
      <w:pPr>
        <w:spacing w:after="80" w:before="80"/>
        <w:jc w:val="left"/>
      </w:pPr>
      <w:r>
        <w:rPr>
          <w:rFonts w:ascii="Calibri" w:cs="Calibri" w:eastAsia="Calibri" w:hAnsi="Calibri"/>
          <w:b w:val="false"/>
          <w:bCs w:val="false"/>
          <w:i w:val="false"/>
          <w:iCs w:val="false"/>
          <w:color w:val="000000"/>
          <w:sz w:val="19"/>
          <w:szCs w:val="19"/>
        </w:rPr>
        <w:t xml:space="preserve">The following are unchanged from v4.8 and are recorded here so that a reader does not assume the revision is broader than it is. The compute spine is stable; the revision is additive around it.</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600"/>
        <w:gridCol w:w="6760"/>
      </w:tblGrid>
      <w:tr>
        <w:trPr>
          <w:tblHeader/>
        </w:trPr>
        <w:tc>
          <w:tcPr>
            <w:tcW w:type="dxa" w:w="26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Unchanged element</w:t>
            </w:r>
          </w:p>
        </w:tc>
        <w:tc>
          <w:tcPr>
            <w:tcW w:type="dxa" w:w="67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Note</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8×8 weight-stationary array</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N=8, 64 PEs, external accumulation. No change to dataflow or dimension.</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SDDU deskew contract</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Lane c delayed by N−1−c enabled cycles; metadata pipeline of matching depth.</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INT33 accumulator</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ACC_BUFF = 33 remains correct. The per-sub-tile bound of 131,072 is unchanged; the 33rd bit remains load-bearing.</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Accumulator architecture</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1R1W synchronous SRAM, two-stage pipeline, RAW hazard bypass, as re-architected in commit fa81dfd.</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HALF_UP rounding</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Unchanged, including the shift-then-increment identity.</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INT8 saturation</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Unchanged; wrapping remains a defect.</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Activation after requantisation</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Unchanged and now recorded as load-bearing; see CR-05.</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Tensor layout contract</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NHWC with 64-byte row padding.</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4 KB DMA boundary policy</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Local rejection with no AXI transaction issued.</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Bank state model</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VALID / CONSUMED ownership with collision detection.</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Dynamic metadata rule</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K_TILE_FIRST and K_TILE_LAST remain pipeline metadata, never static descriptor bits.</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Host/hardware boundary for decode and NMS</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Both remain host software.</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Verification methodology</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Python golden model generating $readmemh vectors consumed by a SystemVerilog harness.</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Claim control rule</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 feature without a passing TC-ID may not be claimed as implemented.</w:t>
            </w:r>
          </w:p>
        </w:tc>
      </w:tr>
    </w:tbl>
    <w:p>
      <w:r>
        <w:br w:type="page"/>
      </w:r>
    </w:p>
    <w:p>
      <w:pPr>
        <w:pStyle w:val="Heading1"/>
        <w:spacing w:after="140" w:before="300"/>
      </w:pPr>
      <w:r>
        <w:rPr>
          <w:rFonts w:ascii="Calibri" w:cs="Calibri" w:eastAsia="Calibri" w:hAnsi="Calibri"/>
          <w:b/>
          <w:bCs/>
          <w:color w:val="1F3864"/>
          <w:sz w:val="30"/>
          <w:szCs w:val="30"/>
        </w:rPr>
        <w:t xml:space="preserve">10. Diagram Delta</w:t>
      </w:r>
    </w:p>
    <w:p>
      <w:pPr>
        <w:spacing w:after="60" w:before="160"/>
        <w:jc w:val="center"/>
      </w:pPr>
      <w:r>
        <w:drawing>
          <wp:inline distT="0" distB="0" distL="0" distR="0">
            <wp:extent cx="59055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19100"/>
                    </a:xfrm>
                    <a:prstGeom prst="rect">
                      <a:avLst/>
                    </a:prstGeom>
                  </pic:spPr>
                </pic:pic>
              </a:graphicData>
            </a:graphic>
          </wp:inline>
        </w:drawing>
      </w:r>
    </w:p>
    <w:p>
      <w:pPr>
        <w:spacing w:after="200"/>
        <w:jc w:val="center"/>
      </w:pPr>
      <w:r>
        <w:rPr>
          <w:rFonts w:ascii="Calibri" w:cs="Calibri" w:eastAsia="Calibri" w:hAnsi="Calibri"/>
          <w:b w:val="false"/>
          <w:bCs w:val="false"/>
          <w:i/>
          <w:iCs/>
          <w:color w:val="000000"/>
          <w:sz w:val="17"/>
          <w:szCs w:val="17"/>
        </w:rPr>
        <w:t xml:space="preserve">Figure 1 — Summary view of the v4.8 to v5.0 architectural delta.</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600"/>
        <w:gridCol w:w="6760"/>
      </w:tblGrid>
      <w:tr>
        <w:trPr>
          <w:tblHeader/>
        </w:trPr>
        <w:tc>
          <w:tcPr>
            <w:tcW w:type="dxa" w:w="26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Diagram element</w:t>
            </w:r>
          </w:p>
        </w:tc>
        <w:tc>
          <w:tcPr>
            <w:tcW w:type="dxa" w:w="67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Change</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Tensor Split Engine</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Removed as a block; folded into the addressing-only group (CR-19).</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Tensor Concat Engine</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Removed as a block; folded into the addressing-only group (CR-19).</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Nearest Upsample Engine</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Removed as a block; folded into the addressing-only group (CR-19).</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LUT-SiLU Activation</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Moved from a standalone primary-target block into the drain path adjacent to the activation unit, with an attached LUT SRAM (CR-04).</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Conv2D Window Generator</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Moved to the head of the compute core to reflect its critical-path position (CR-09).</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Tile Sequencer</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New block, previously implicit inside the compute FSM (CR-09).</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Descriptor Ring, Tensor Table, Graph Scheduler</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Now shown as a connected chain within the control plane rather than as isolated future blocks (CR-10 to CR-12).</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C2f Block Sequencer</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New block in the control plane (CR-13).</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Interrupt Logic</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Now fed by both the sticky error path and the performance counters (CR-14).</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DMA Arbiter</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New block between the DMA master and the read router (CR-16).</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Bias/Quant SRAM, Residual SRAM</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Now shown explicitly with their consumer connections (CR-17).</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Verification and Characterisation group</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New subgraph covering the golden model, regression, synthesis, area/power and utilization (CR-20).</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Colour legend</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Extended: green for verified, yellow for scheduled, blue for addressing-only, purple for control plane, grey for host, orange for the error path, and a new yellow-bordered group for verification.</w:t>
            </w:r>
          </w:p>
        </w:tc>
      </w:tr>
    </w:tbl>
    <w:p>
      <w:r>
        <w:br w:type="page"/>
      </w:r>
    </w:p>
    <w:p>
      <w:pPr>
        <w:pStyle w:val="Heading1"/>
        <w:spacing w:after="140" w:before="300"/>
      </w:pPr>
      <w:r>
        <w:rPr>
          <w:rFonts w:ascii="Calibri" w:cs="Calibri" w:eastAsia="Calibri" w:hAnsi="Calibri"/>
          <w:b/>
          <w:bCs/>
          <w:color w:val="1F3864"/>
          <w:sz w:val="30"/>
          <w:szCs w:val="30"/>
        </w:rPr>
        <w:t xml:space="preserve">11. Open Decisions Carried Into v5.0</w:t>
      </w:r>
    </w:p>
    <w:p>
      <w:pPr>
        <w:spacing w:after="80" w:before="80"/>
        <w:jc w:val="left"/>
      </w:pPr>
      <w:r>
        <w:rPr>
          <w:rFonts w:ascii="Calibri" w:cs="Calibri" w:eastAsia="Calibri" w:hAnsi="Calibri"/>
          <w:b w:val="false"/>
          <w:bCs w:val="false"/>
          <w:i w:val="false"/>
          <w:iCs w:val="false"/>
          <w:color w:val="000000"/>
          <w:sz w:val="19"/>
          <w:szCs w:val="19"/>
        </w:rPr>
        <w:t xml:space="preserve">The following decisions are unresolved at the time of this revision. Each is recorded here because leaving them implicit in a specification produces RTL that is ambiguous in the same way.</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1400"/>
        <w:gridCol w:w="3400"/>
        <w:gridCol w:w="4560"/>
      </w:tblGrid>
      <w:tr>
        <w:trPr>
          <w:tblHeader/>
        </w:trPr>
        <w:tc>
          <w:tcPr>
            <w:tcW w:type="dxa" w:w="14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ID</w:t>
            </w:r>
          </w:p>
        </w:tc>
        <w:tc>
          <w:tcPr>
            <w:tcW w:type="dxa" w:w="34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Open decision</w:t>
            </w:r>
          </w:p>
        </w:tc>
        <w:tc>
          <w:tcPr>
            <w:tcW w:type="dxa" w:w="45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Required by</w:t>
            </w:r>
          </w:p>
        </w:tc>
      </w:tr>
      <w:tr>
        <w:trPr>
          <w:tblHeader w:val="false"/>
        </w:trPr>
        <w:tc>
          <w:tcPr>
            <w:tcW w:type="dxa" w:w="1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OD-01</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Padding strategy for the Conv2D window generator: zero-beat injection versus downstream write suppression. The choice determines whether tile cycle count is data-independent and propagates into the tile sequencer, accumulator address timing and drain path.</w:t>
            </w:r>
          </w:p>
        </w:tc>
        <w:tc>
          <w:tcPr>
            <w:tcW w:type="dxa" w:w="4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Week 1 — blocks the first RTL of the plan.</w:t>
            </w:r>
          </w:p>
        </w:tc>
      </w:tr>
      <w:tr>
        <w:trPr>
          <w:tblHeader w:val="false"/>
        </w:trPr>
        <w:tc>
          <w:tcPr>
            <w:tcW w:type="dxa" w:w="1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OD-02</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Whether the descriptor can express the base and offset arithmetic required by concat, split and upsample. If it cannot, CR-19 fails and three engines return to scope.</w:t>
            </w:r>
          </w:p>
        </w:tc>
        <w:tc>
          <w:tcPr>
            <w:tcW w:type="dxa" w:w="4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Week 10 — tested by TC-CAT-001, TC-SPLIT-001, TC-UP-001.</w:t>
            </w:r>
          </w:p>
        </w:tc>
      </w:tr>
      <w:tr>
        <w:trPr>
          <w:tblHeader w:val="false"/>
        </w:trPr>
        <w:tc>
          <w:tcPr>
            <w:tcW w:type="dxa" w:w="1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OD-03</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Whether requant.sv’s constant-select construct infers the intended logic in synthesis. Icarus reports it as unsupported and silently widens the sensitivity list.</w:t>
            </w:r>
          </w:p>
        </w:tc>
        <w:tc>
          <w:tcPr>
            <w:tcW w:type="dxa" w:w="4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Week 25 — resolved during synthesis setup.</w:t>
            </w:r>
          </w:p>
        </w:tc>
      </w:tr>
      <w:tr>
        <w:trPr>
          <w:tblHeader w:val="false"/>
        </w:trPr>
        <w:tc>
          <w:tcPr>
            <w:tcW w:type="dxa" w:w="1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OD-04</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Whether the 200 MHz clock target is achievable. Every timing statement in the current documents is a target, not a measurement.</w:t>
            </w:r>
          </w:p>
        </w:tc>
        <w:tc>
          <w:tcPr>
            <w:tcW w:type="dxa" w:w="4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Week 26 — resolved by static timing analysis.</w:t>
            </w:r>
          </w:p>
        </w:tc>
      </w:tr>
      <w:tr>
        <w:trPr>
          <w:tblHeader w:val="false"/>
        </w:trPr>
        <w:tc>
          <w:tcPr>
            <w:tcW w:type="dxa" w:w="1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OD-05</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Which layers dominate INT8 accuracy loss, and whether any require per-channel rather than per-tensor quantisation.</w:t>
            </w:r>
          </w:p>
        </w:tc>
        <w:tc>
          <w:tcPr>
            <w:tcW w:type="dxa" w:w="4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Week 24 — resolved by per-layer error attribution.</w:t>
            </w:r>
          </w:p>
        </w:tc>
      </w:tr>
    </w:tbl>
    <w:p>
      <w:pPr>
        <w:spacing w:after="80" w:before="400"/>
        <w:jc w:val="center"/>
      </w:pPr>
      <w:r>
        <w:rPr>
          <w:rFonts w:ascii="Calibri" w:cs="Calibri" w:eastAsia="Calibri" w:hAnsi="Calibri"/>
          <w:b w:val="false"/>
          <w:bCs w:val="false"/>
          <w:i/>
          <w:iCs/>
          <w:color w:val="000000"/>
          <w:sz w:val="17"/>
          <w:szCs w:val="17"/>
        </w:rPr>
        <w:t xml:space="preserve">End of document — EdgeASIC Architecture Change Register v4.8 → v5.0, 17 August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a3eb16682656f23633ef759c93780d68b6600d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EdgeASIC Architecture Change Register v4.8 to v5.0</dc:title>
  <dc:creator>EdgeASIC FYP Team</dc:creator>
  <cp:lastModifiedBy>Un-named</cp:lastModifiedBy>
  <cp:revision>1</cp:revision>
  <dcterms:created xsi:type="dcterms:W3CDTF">2026-08-16T20:41:07.020Z</dcterms:created>
  <dcterms:modified xsi:type="dcterms:W3CDTF">2026-08-16T20:41:07.034Z</dcterms:modified>
</cp:coreProperties>
</file>

<file path=docProps/custom.xml><?xml version="1.0" encoding="utf-8"?>
<Properties xmlns="http://schemas.openxmlformats.org/officeDocument/2006/custom-properties" xmlns:vt="http://schemas.openxmlformats.org/officeDocument/2006/docPropsVTypes"/>
</file>