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1F3864"/>
          <w:sz w:val="56"/>
          <w:szCs w:val="56"/>
        </w:rPr>
        <w:t xml:space="preserve">EdgeASIC v5.0</w:t>
      </w:r>
    </w:p>
    <w:p>
      <w:pPr>
        <w:spacing w:after="100"/>
        <w:jc w:val="center"/>
      </w:pPr>
      <w:r>
        <w:rPr>
          <w:rFonts w:ascii="Calibri" w:cs="Calibri" w:eastAsia="Calibri" w:hAnsi="Calibri"/>
          <w:b/>
          <w:bCs/>
          <w:color w:val="1F3864"/>
          <w:sz w:val="32"/>
          <w:szCs w:val="32"/>
        </w:rPr>
        <w:t xml:space="preserve">36-Week Full-Scope Implementation Plan and Demo Strategy</w:t>
      </w:r>
    </w:p>
    <w:p>
      <w:pPr>
        <w:spacing w:after="80"/>
        <w:jc w:val="center"/>
      </w:pPr>
      <w:r>
        <w:rPr>
          <w:rFonts w:ascii="Calibri" w:cs="Calibri" w:eastAsia="Calibri" w:hAnsi="Calibri"/>
          <w:b w:val="false"/>
          <w:bCs w:val="false"/>
          <w:i w:val="false"/>
          <w:iCs w:val="false"/>
          <w:color w:val="000000"/>
          <w:sz w:val="24"/>
          <w:szCs w:val="24"/>
        </w:rPr>
        <w:t xml:space="preserve">Host-Assisted INT8 Convolution / GEMM Accelerator for YOLOv8n Compute-Layer Execution</w:t>
      </w:r>
    </w:p>
    <w:p>
      <w:pPr>
        <w:spacing w:after="400"/>
        <w:jc w:val="center"/>
      </w:pPr>
      <w:r>
        <w:rPr>
          <w:rFonts w:ascii="Calibri" w:cs="Calibri" w:eastAsia="Calibri" w:hAnsi="Calibri"/>
          <w:b w:val="false"/>
          <w:bCs w:val="false"/>
          <w:i/>
          <w:iCs/>
          <w:color w:val="000000"/>
          <w:sz w:val="20"/>
          <w:szCs w:val="20"/>
        </w:rPr>
        <w:t xml:space="preserve">Two-person FYP execution plan with weekly RTL, verification, software, characterisation and evidence gates</w:t>
      </w:r>
    </w:p>
    <w:p>
      <w:pPr>
        <w:spacing w:after="200"/>
        <w:jc w:val="center"/>
      </w:pPr>
      <w:r>
        <w:rPr>
          <w:rFonts w:ascii="Calibri" w:cs="Calibri" w:eastAsia="Calibri" w:hAnsi="Calibri"/>
          <w:b/>
          <w:bCs/>
          <w:i w:val="false"/>
          <w:iCs w:val="false"/>
          <w:color w:val="000000"/>
          <w:sz w:val="20"/>
          <w:szCs w:val="20"/>
        </w:rPr>
        <w:t xml:space="preserve">Revision 5.0  ·  17 August 2026  ·  Supersedes v4.8 (32-Week Plan)</w:t>
      </w:r>
    </w:p>
    <w:p>
      <w:r>
        <w:br w:type="page"/>
      </w:r>
    </w:p>
    <w:p>
      <w:pPr>
        <w:pStyle w:val="Heading1"/>
        <w:spacing w:after="120" w:before="240"/>
      </w:pPr>
      <w:r>
        <w:rPr>
          <w:rFonts w:ascii="Calibri" w:cs="Calibri" w:eastAsia="Calibri" w:hAnsi="Calibri"/>
          <w:b/>
          <w:bCs/>
          <w:color w:val="1F3864"/>
          <w:sz w:val="28"/>
          <w:szCs w:val="28"/>
        </w:rPr>
        <w:t xml:space="preserve">Document Control</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200"/>
        <w:gridCol w:w="11200"/>
      </w:tblGrid>
      <w:tr>
        <w:trPr>
          <w:tblHeader/>
        </w:trPr>
        <w:tc>
          <w:tcPr>
            <w:tcW w:type="dxa" w:w="3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Field</w:t>
            </w:r>
          </w:p>
        </w:tc>
        <w:tc>
          <w:tcPr>
            <w:tcW w:type="dxa" w:w="11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Value</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Document</w:t>
            </w:r>
          </w:p>
        </w:tc>
        <w:tc>
          <w:tcPr>
            <w:tcW w:type="dxa" w:w="11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EdgeASIC v5.0 36-Week Full-Scope Implementation Plan and Demo Strategy</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Supersedes</w:t>
            </w:r>
          </w:p>
        </w:tc>
        <w:tc>
          <w:tcPr>
            <w:tcW w:type="dxa" w:w="11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EdgeASIC v4.8 32-Week Implementation Plan and Demo Strategy</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Project identity</w:t>
            </w:r>
          </w:p>
        </w:tc>
        <w:tc>
          <w:tcPr>
            <w:tcW w:type="dxa" w:w="11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Host-assisted INT8 Conv/GEMM accelerator executing YOLOv8n compute layers at full architectural scope</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Revision</w:t>
            </w:r>
          </w:p>
        </w:tc>
        <w:tc>
          <w:tcPr>
            <w:tcW w:type="dxa" w:w="11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5.0</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Date</w:t>
            </w:r>
          </w:p>
        </w:tc>
        <w:tc>
          <w:tcPr>
            <w:tcW w:type="dxa" w:w="11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17 August 2026</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Planning window</w:t>
            </w:r>
          </w:p>
        </w:tc>
        <w:tc>
          <w:tcPr>
            <w:tcW w:type="dxa" w:w="11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18 August 2026 → 30 April 2027 (36 working weeks + terminal margin)</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Team</w:t>
            </w:r>
          </w:p>
        </w:tc>
        <w:tc>
          <w:tcPr>
            <w:tcW w:type="dxa" w:w="11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Two engineers. Person A: compute datapath and verification. Person B: control plane, memory system and host software.</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Status of predecessor</w:t>
            </w:r>
          </w:p>
        </w:tc>
        <w:tc>
          <w:tcPr>
            <w:tcW w:type="dxa" w:w="11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Phase 0 of the v4.8 plan is complete and closed. This document replaces the remaining v4.8 schedule.</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Principal changes from v4.8</w:t>
            </w:r>
          </w:p>
        </w:tc>
        <w:tc>
          <w:tcPr>
            <w:tcW w:type="dxa" w:w="11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 Target network changed from MobileNetV3-Minimalistic to YOLOv8n. (2) Scope restored from the trimmed subset to 100% of the architecture specification. (3) Synthesis, area, power and utilization characterisation added as a dedicated phase. (4) Schedule recalibrated against measured team velocity.</w:t>
            </w:r>
          </w:p>
        </w:tc>
      </w:tr>
    </w:tbl>
    <w:p>
      <w:pPr>
        <w:pStyle w:val="Heading1"/>
        <w:spacing w:after="120" w:before="240"/>
      </w:pPr>
      <w:r>
        <w:rPr>
          <w:rFonts w:ascii="Calibri" w:cs="Calibri" w:eastAsia="Calibri" w:hAnsi="Calibri"/>
          <w:b/>
          <w:bCs/>
          <w:color w:val="1F3864"/>
          <w:sz w:val="28"/>
          <w:szCs w:val="28"/>
        </w:rPr>
        <w:t xml:space="preserve">Static Table of Contents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1. Executive Implementation Strategy</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2. Status at Plan Start</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3. Target Network Pivot and Operator Placement</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4. Full Scope Definition</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5. Throughput Position and Claim Boundary</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6. Team Organization and Work Ownership</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7. Phase Overview and Milestone Gates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8. Detailed Week-by-Week Plan</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9. Verification and Evidence Strategy</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10. Characterisation and Performance Evaluation Plan</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11. Host-Assisted Demo Strategy</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12. Risk Register and Recovery Rules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13. Repository and Deliverable Structure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14. Final Defence Package and Claim Discipline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Appendix A — Weekly Test ID Map</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Appendix B — Weekly Review Template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Appendix C — Final Submission Checklist</w:t>
      </w:r>
    </w:p>
    <w:p>
      <w:r>
        <w:br w:type="page"/>
      </w:r>
    </w:p>
    <w:p>
      <w:pPr>
        <w:pStyle w:val="Heading1"/>
        <w:spacing w:after="120" w:before="240"/>
      </w:pPr>
      <w:r>
        <w:rPr>
          <w:rFonts w:ascii="Calibri" w:cs="Calibri" w:eastAsia="Calibri" w:hAnsi="Calibri"/>
          <w:b/>
          <w:bCs/>
          <w:color w:val="1F3864"/>
          <w:sz w:val="28"/>
          <w:szCs w:val="28"/>
        </w:rPr>
        <w:t xml:space="preserve">1. Executive Implementation Strategy</w:t>
      </w:r>
    </w:p>
    <w:p>
      <w:pPr>
        <w:spacing w:after="60" w:before="60"/>
        <w:jc w:val="left"/>
      </w:pPr>
      <w:r>
        <w:rPr>
          <w:rFonts w:ascii="Calibri" w:cs="Calibri" w:eastAsia="Calibri" w:hAnsi="Calibri"/>
          <w:b w:val="false"/>
          <w:bCs w:val="false"/>
          <w:i w:val="false"/>
          <w:iCs w:val="false"/>
          <w:color w:val="000000"/>
          <w:sz w:val="18"/>
          <w:szCs w:val="18"/>
        </w:rPr>
        <w:t xml:space="preserve">This plan governs the remaining 36 working weeks of the EdgeASIC final-year project, from 18 August 2026 to the 30 April 2027 submission deadline. It supersedes the v4.8 32-week plan, whose Phase 0 objectives are complete.</w:t>
      </w:r>
    </w:p>
    <w:p>
      <w:pPr>
        <w:spacing w:after="60" w:before="60"/>
        <w:jc w:val="left"/>
      </w:pPr>
      <w:r>
        <w:rPr>
          <w:rFonts w:ascii="Calibri" w:cs="Calibri" w:eastAsia="Calibri" w:hAnsi="Calibri"/>
          <w:b w:val="false"/>
          <w:bCs w:val="false"/>
          <w:i w:val="false"/>
          <w:iCs w:val="false"/>
          <w:color w:val="000000"/>
          <w:sz w:val="18"/>
          <w:szCs w:val="18"/>
        </w:rPr>
        <w:t xml:space="preserve">The project remains a host-assisted accelerator rather than a standalone image-to-box processor. The hardware IP accelerates supported INT8 tensor compute; the host performs preprocessing, quantisation, tiling, descriptor emission, detection decode and non-maximum suppression. This partition is deliberate and is defended on the basis of arithmetic distribution rather than convenience: over 95% of YOLOv8n multiply-accumulate operations execute in hardware under this plan, and the host performs tensor bookkeeping rather than arithmetic.</w:t>
      </w:r>
    </w:p>
    <w:p>
      <w:pPr>
        <w:spacing w:after="60" w:before="60"/>
        <w:jc w:val="left"/>
      </w:pPr>
      <w:r>
        <w:rPr>
          <w:rFonts w:ascii="Calibri" w:cs="Calibri" w:eastAsia="Calibri" w:hAnsi="Calibri"/>
          <w:b w:val="false"/>
          <w:bCs w:val="false"/>
          <w:i w:val="false"/>
          <w:iCs w:val="false"/>
          <w:color w:val="000000"/>
          <w:sz w:val="18"/>
          <w:szCs w:val="18"/>
        </w:rPr>
        <w:t xml:space="preserve">Three structural changes distinguish this revision from its predecessor. First, the target network changes to YOLOv8n, because a weight-stationary systolic array maps directly onto YOLOv8n’s standard convolutions while collapsing to approximately 1/N utilization on the depthwise-separable convolutions that dominate MobileNetV3. Second, the scope is restored to the complete architecture specification rather than the trimmed subset, on the basis of measured team velocity across the 1 July – 17 August period. Third, a dedicated characterisation phase is added, because an ASIC project defended without gate count, critical path, area, power and utilization figures is vulnerable irrespective of how much RTL it contains.</w:t>
      </w:r>
    </w:p>
    <w:p>
      <w:pPr>
        <w:spacing w:after="60" w:before="60"/>
        <w:jc w:val="left"/>
      </w:pPr>
      <w:r>
        <w:rPr>
          <w:rFonts w:ascii="Calibri" w:cs="Calibri" w:eastAsia="Calibri" w:hAnsi="Calibri"/>
          <w:b w:val="false"/>
          <w:bCs w:val="false"/>
          <w:i w:val="false"/>
          <w:iCs w:val="false"/>
          <w:color w:val="000000"/>
          <w:sz w:val="18"/>
          <w:szCs w:val="18"/>
        </w:rPr>
        <w:t xml:space="preserve">The plan is checkpoint-first. Week 1 attempts the complete single-layer end-to-end path and measures the integration debug term directly. That measurement either confirms the remaining schedule or triggers an immediate documented rebase. No later phase depends on an unvalidated velocity assumption.</w:t>
      </w:r>
    </w:p>
    <w:tbl>
      <w:tblPr>
        <w:tblW w:type="dxa" w:w="14400"/>
        <w:tblBorders>
          <w:top w:val="single" w:color="BF9000" w:sz="6"/>
          <w:left w:val="single" w:color="BF9000" w:sz="6"/>
          <w:bottom w:val="single" w:color="BF9000" w:sz="6"/>
          <w:right w:val="single" w:color="BF9000" w:sz="6"/>
          <w:insideH w:val="none"/>
          <w:insideV w:val="none"/>
        </w:tblBorders>
      </w:tblPr>
      <w:tblGrid>
        <w:gridCol w:w="14400"/>
      </w:tblGrid>
      <w:tr>
        <w:tc>
          <w:tcPr>
            <w:tcW w:type="dxa" w:w="14400"/>
            <w:shd w:fill="FFF2CC" w:color="auto" w:val="clear"/>
            <w:tcMar>
              <w:top w:type="dxa" w:w="100"/>
              <w:left w:type="dxa" w:w="140"/>
              <w:bottom w:type="dxa" w:w="100"/>
              <w:right w:type="dxa" w:w="140"/>
            </w:tcMar>
          </w:tcPr>
          <w:p>
            <w:pPr>
              <w:spacing w:after="60"/>
            </w:pPr>
            <w:r>
              <w:rPr>
                <w:rFonts w:ascii="Calibri" w:cs="Calibri" w:eastAsia="Calibri" w:hAnsi="Calibri"/>
                <w:b/>
                <w:bCs/>
                <w:i w:val="false"/>
                <w:iCs w:val="false"/>
                <w:color w:val="000000"/>
                <w:sz w:val="17"/>
                <w:szCs w:val="17"/>
              </w:rPr>
              <w:t xml:space="preserve">Scope rule</w:t>
            </w:r>
          </w:p>
          <w:p>
            <w:pPr>
              <w:spacing w:after="30" w:before="30"/>
            </w:pPr>
            <w:r>
              <w:rPr>
                <w:rFonts w:ascii="Calibri" w:cs="Calibri" w:eastAsia="Calibri" w:hAnsi="Calibri"/>
                <w:b w:val="false"/>
                <w:bCs w:val="false"/>
                <w:i w:val="false"/>
                <w:iCs w:val="false"/>
                <w:color w:val="000000"/>
                <w:sz w:val="16"/>
                <w:szCs w:val="16"/>
              </w:rPr>
              <w:t xml:space="preserve">This plan treats the complete v4.8 architecture specification as in scope: Conv2D window generation, Tensor Table, descriptor ring, graph scheduler, C2f sequencing, split, concat, upsample, maxpool/SPPF, LUT-SiLU, elementwise/residual, detect head, DMA arbitration, interrupt logic and the full performance counter set.</w:t>
            </w:r>
          </w:p>
          <w:p>
            <w:pPr>
              <w:spacing w:after="30" w:before="30"/>
            </w:pPr>
            <w:r>
              <w:rPr>
                <w:rFonts w:ascii="Calibri" w:cs="Calibri" w:eastAsia="Calibri" w:hAnsi="Calibri"/>
                <w:b w:val="false"/>
                <w:bCs w:val="false"/>
                <w:i w:val="false"/>
                <w:iCs w:val="false"/>
                <w:color w:val="000000"/>
                <w:sz w:val="16"/>
                <w:szCs w:val="16"/>
              </w:rPr>
              <w:t xml:space="preserve">A scheduled target remains a primary target, but it may only be claimed as implemented if a passing TC-ID exists. Features without passing tests are reported as partial, disabled or host-side in the final documentation. This rule is inherited unchanged from v4.8 and is not relaxed by the scope expansion.</w:t>
            </w:r>
          </w:p>
        </w:tc>
      </w:tr>
    </w:tbl>
    <w:p>
      <w:pPr>
        <w:pStyle w:val="Heading1"/>
        <w:spacing w:after="120" w:before="240"/>
      </w:pPr>
      <w:r>
        <w:rPr>
          <w:rFonts w:ascii="Calibri" w:cs="Calibri" w:eastAsia="Calibri" w:hAnsi="Calibri"/>
          <w:b/>
          <w:bCs/>
          <w:color w:val="1F3864"/>
          <w:sz w:val="28"/>
          <w:szCs w:val="28"/>
        </w:rPr>
        <w:t xml:space="preserve">2. Status at Plan Start</w:t>
      </w:r>
    </w:p>
    <w:p>
      <w:pPr>
        <w:spacing w:after="60" w:before="60"/>
        <w:jc w:val="left"/>
      </w:pPr>
      <w:r>
        <w:rPr>
          <w:rFonts w:ascii="Calibri" w:cs="Calibri" w:eastAsia="Calibri" w:hAnsi="Calibri"/>
          <w:b w:val="false"/>
          <w:bCs w:val="false"/>
          <w:i w:val="false"/>
          <w:iCs w:val="false"/>
          <w:color w:val="000000"/>
          <w:sz w:val="18"/>
          <w:szCs w:val="18"/>
        </w:rPr>
        <w:t xml:space="preserve">Phase 0 of the v4.8 plan is complete. The following is the verified position as of 17 August 2026 and forms the baseline for every estimate in this document.</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4600"/>
        <w:gridCol w:w="2400"/>
        <w:gridCol w:w="7400"/>
      </w:tblGrid>
      <w:tr>
        <w:trPr>
          <w:tblHeader/>
        </w:trPr>
        <w:tc>
          <w:tcPr>
            <w:tcW w:type="dxa" w:w="4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Metric</w:t>
            </w:r>
          </w:p>
        </w:tc>
        <w:tc>
          <w:tcPr>
            <w:tcW w:type="dxa" w:w="2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Value</w:t>
            </w:r>
          </w:p>
        </w:tc>
        <w:tc>
          <w:tcPr>
            <w:tcW w:type="dxa" w:w="7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Notes</w:t>
            </w:r>
          </w:p>
        </w:tc>
      </w:tr>
      <w:tr>
        <w:trPr>
          <w:tblHeader w:val="false"/>
        </w:trPr>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 modules implemented</w:t>
            </w:r>
          </w:p>
        </w:tc>
        <w:tc>
          <w:tcPr>
            <w:tcW w:type="dxa" w:w="2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16</w:t>
            </w:r>
          </w:p>
        </w:tc>
        <w:tc>
          <w:tcPr>
            <w:tcW w:type="dxa" w:w="7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Datapath, control plane, memory system and packages</w:t>
            </w:r>
          </w:p>
        </w:tc>
      </w:tr>
      <w:tr>
        <w:trPr>
          <w:tblHeader w:val="false"/>
        </w:trPr>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Unit testbenches</w:t>
            </w:r>
          </w:p>
        </w:tc>
        <w:tc>
          <w:tcPr>
            <w:tcW w:type="dxa" w:w="2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17</w:t>
            </w:r>
          </w:p>
        </w:tc>
        <w:tc>
          <w:tcPr>
            <w:tcW w:type="dxa" w:w="7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Every RTL module has at least one directed testbench</w:t>
            </w:r>
          </w:p>
        </w:tc>
      </w:tr>
      <w:tr>
        <w:trPr>
          <w:tblHeader w:val="false"/>
        </w:trPr>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Regression targets passing</w:t>
            </w:r>
          </w:p>
        </w:tc>
        <w:tc>
          <w:tcPr>
            <w:tcW w:type="dxa" w:w="2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15 / 15</w:t>
            </w:r>
          </w:p>
        </w:tc>
        <w:tc>
          <w:tcPr>
            <w:tcW w:type="dxa" w:w="7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make all completes with zero failures under Icarus Verilog 12</w:t>
            </w:r>
          </w:p>
        </w:tc>
      </w:tr>
      <w:tr>
        <w:trPr>
          <w:tblHeader w:val="false"/>
        </w:trPr>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Golden-model self-tests</w:t>
            </w:r>
          </w:p>
        </w:tc>
        <w:tc>
          <w:tcPr>
            <w:tcW w:type="dxa" w:w="2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40</w:t>
            </w:r>
          </w:p>
        </w:tc>
        <w:tc>
          <w:tcPr>
            <w:tcW w:type="dxa" w:w="7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edgeasic_model.py, committed to the repository</w:t>
            </w:r>
          </w:p>
        </w:tc>
      </w:tr>
      <w:tr>
        <w:trPr>
          <w:tblHeader w:val="false"/>
        </w:trPr>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Requant golden regression</w:t>
            </w:r>
          </w:p>
        </w:tc>
        <w:tc>
          <w:tcPr>
            <w:tcW w:type="dxa" w:w="2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4,257 valid beats, 0 mismatches</w:t>
            </w:r>
          </w:p>
        </w:tc>
        <w:tc>
          <w:tcPr>
            <w:tcW w:type="dxa" w:w="7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 matches the Python model bit-for-bit</w:t>
            </w:r>
          </w:p>
        </w:tc>
      </w:tr>
      <w:tr>
        <w:trPr>
          <w:tblHeader w:val="false"/>
        </w:trPr>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Accumulator adversarial suite</w:t>
            </w:r>
          </w:p>
        </w:tc>
        <w:tc>
          <w:tcPr>
            <w:tcW w:type="dxa" w:w="2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Passing</w:t>
            </w:r>
          </w:p>
        </w:tc>
        <w:tc>
          <w:tcPr>
            <w:tcW w:type="dxa" w:w="7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Maximum RAW pressure including stall-on-bypass-cycle cases</w:t>
            </w:r>
          </w:p>
        </w:tc>
      </w:tr>
      <w:tr>
        <w:trPr>
          <w:tblHeader w:val="false"/>
        </w:trPr>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Elapsed calendar time</w:t>
            </w:r>
          </w:p>
        </w:tc>
        <w:tc>
          <w:tcPr>
            <w:tcW w:type="dxa" w:w="2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 July – 17 August 2026 (6.7 weeks)</w:t>
            </w:r>
          </w:p>
        </w:tc>
        <w:tc>
          <w:tcPr>
            <w:tcW w:type="dxa" w:w="7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Includes architecture specification, 32-week plan and system diagram</w:t>
            </w:r>
          </w:p>
        </w:tc>
      </w:tr>
      <w:tr>
        <w:trPr>
          <w:tblHeader w:val="false"/>
        </w:trPr>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Measured velocity factor</w:t>
            </w:r>
          </w:p>
        </w:tc>
        <w:tc>
          <w:tcPr>
            <w:tcW w:type="dxa" w:w="2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≈2.4× conventional</w:t>
            </w:r>
          </w:p>
        </w:tc>
        <w:tc>
          <w:tcPr>
            <w:tcW w:type="dxa" w:w="7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Derived from documentation-inclusive start date, not commit dates</w:t>
            </w:r>
          </w:p>
        </w:tc>
      </w:tr>
      <w:tr>
        <w:trPr>
          <w:tblHeader w:val="false"/>
        </w:trPr>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Observed duty cycle</w:t>
            </w:r>
          </w:p>
        </w:tc>
        <w:tc>
          <w:tcPr>
            <w:tcW w:type="dxa" w:w="2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70–90%</w:t>
            </w:r>
          </w:p>
        </w:tc>
        <w:tc>
          <w:tcPr>
            <w:tcW w:type="dxa" w:w="7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One 15-day gap (25 July – 9 August) in the observation window</w:t>
            </w:r>
          </w:p>
        </w:tc>
      </w:tr>
    </w:tbl>
    <w:p>
      <w:pPr>
        <w:pStyle w:val="Heading2"/>
        <w:spacing w:after="120" w:before="240"/>
      </w:pPr>
      <w:r>
        <w:rPr>
          <w:rFonts w:ascii="Calibri" w:cs="Calibri" w:eastAsia="Calibri" w:hAnsi="Calibri"/>
          <w:b/>
          <w:bCs/>
          <w:color w:val="1F3864"/>
          <w:sz w:val="22"/>
          <w:szCs w:val="22"/>
        </w:rPr>
        <w:t xml:space="preserve">2.1 Confirmed Design Decisions Carried Forward</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Rounding: HALF_UP, implemented via the shift-then-increment identity to avoid a 58-bit variable shifter.</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Output behaviour: saturation, not wrapping, at the INT8 boundary.</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Activation ordering: applied after requantisation. This ordering is load-bearing for the LUT-SiLU design (see §3.3).</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Accumulator width: ACC_BUFF = 33. The per-sub-tile bound is 8 × 128 × 128 = 131,072; 33 bits is safe across the full 16-bit csr_k range and 32 bits is not. The 33rd bit is load-bearing and the golden model asserts this.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Accumulator architecture: 1R1W synchronous SRAM with a two-stage pipeline and RAW hazard bypass, verified against adversarial patterns at maximum hazard pressure.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SDDU contract: out_valid asserted for ARRAY_N cycles, delayed by MAX_DELAY = ARRAY_N − 1 enabled cycles, with metadata propagating through a matching pipeline depth.</w:t>
      </w:r>
    </w:p>
    <w:p>
      <w:pPr>
        <w:pStyle w:val="Heading2"/>
        <w:spacing w:after="120" w:before="240"/>
      </w:pPr>
      <w:r>
        <w:rPr>
          <w:rFonts w:ascii="Calibri" w:cs="Calibri" w:eastAsia="Calibri" w:hAnsi="Calibri"/>
          <w:b/>
          <w:bCs/>
          <w:color w:val="1F3864"/>
          <w:sz w:val="22"/>
          <w:szCs w:val="22"/>
        </w:rPr>
        <w:t xml:space="preserve">2.2 Known Open Items</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400"/>
        <w:gridCol w:w="7000"/>
        <w:gridCol w:w="4000"/>
      </w:tblGrid>
      <w:tr>
        <w:trPr>
          <w:tblHeader/>
        </w:trPr>
        <w:tc>
          <w:tcPr>
            <w:tcW w:type="dxa" w:w="3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Item</w:t>
            </w:r>
          </w:p>
        </w:tc>
        <w:tc>
          <w:tcPr>
            <w:tcW w:type="dxa" w:w="7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Description</w:t>
            </w:r>
          </w:p>
        </w:tc>
        <w:tc>
          <w:tcPr>
            <w:tcW w:type="dxa" w:w="4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Scheduled</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requant.sv constant-select warning</w:t>
            </w:r>
          </w:p>
        </w:tc>
        <w:tc>
          <w:tcPr>
            <w:tcW w:type="dxa" w:w="7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Icarus reports that a constant select in an always_comb block is unsupported and all bits are included. Behaviour is correct in simulation; synthesis inference must be confirmed.</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25</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Golden vector array sizing</w:t>
            </w:r>
          </w:p>
        </w:tc>
        <w:tc>
          <w:tcPr>
            <w:tcW w:type="dxa" w:w="7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tb_requant_golden.sv requests [0:19999] from 5,000-word vector files. Benign at the current VEC_BEATS but will read X if the parameter is raised.</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3</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Collaborator workflow</w:t>
            </w:r>
          </w:p>
        </w:tc>
        <w:tc>
          <w:tcPr>
            <w:tcW w:type="dxa" w:w="7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Direct file re-upload via the GitHub web UI previously deleted five localparam definitions silently and broke four verified modules.</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3 (CI enforcement)</w:t>
            </w:r>
          </w:p>
        </w:tc>
      </w:tr>
    </w:tbl>
    <w:p>
      <w:r>
        <w:br w:type="page"/>
      </w:r>
    </w:p>
    <w:p>
      <w:pPr>
        <w:pStyle w:val="Heading1"/>
        <w:spacing w:after="120" w:before="240"/>
      </w:pPr>
      <w:r>
        <w:rPr>
          <w:rFonts w:ascii="Calibri" w:cs="Calibri" w:eastAsia="Calibri" w:hAnsi="Calibri"/>
          <w:b/>
          <w:bCs/>
          <w:color w:val="1F3864"/>
          <w:sz w:val="28"/>
          <w:szCs w:val="28"/>
        </w:rPr>
        <w:t xml:space="preserve">3. Target Network Pivot and Operator Placement</w:t>
      </w:r>
    </w:p>
    <w:p>
      <w:pPr>
        <w:pStyle w:val="Heading2"/>
        <w:spacing w:after="120" w:before="240"/>
      </w:pPr>
      <w:r>
        <w:rPr>
          <w:rFonts w:ascii="Calibri" w:cs="Calibri" w:eastAsia="Calibri" w:hAnsi="Calibri"/>
          <w:b/>
          <w:bCs/>
          <w:color w:val="1F3864"/>
          <w:sz w:val="22"/>
          <w:szCs w:val="22"/>
        </w:rPr>
        <w:t xml:space="preserve">3.1 Rationale</w:t>
      </w:r>
    </w:p>
    <w:p>
      <w:pPr>
        <w:spacing w:after="60" w:before="60"/>
        <w:jc w:val="left"/>
      </w:pPr>
      <w:r>
        <w:rPr>
          <w:rFonts w:ascii="Calibri" w:cs="Calibri" w:eastAsia="Calibri" w:hAnsi="Calibri"/>
          <w:b w:val="false"/>
          <w:bCs w:val="false"/>
          <w:i w:val="false"/>
          <w:iCs w:val="false"/>
          <w:color w:val="000000"/>
          <w:sz w:val="18"/>
          <w:szCs w:val="18"/>
        </w:rPr>
        <w:t xml:space="preserve">The target network changes from MobileNetV3-Minimalistic to YOLOv8n. MobileNetV3 is dominated by depthwise-separable convolutions. On a weight-stationary GEMM array a depthwise convolution collapses to approximately 1/N utilization, meaning an eight-wide array executing at single-lane efficiency, or bespoke datapath logic that was never scoped. YOLOv8n’s backbone is standard 3×3 and 1×1 convolution throughout, which maps directly onto the existing tiled GEMM core with no new datapath.</w:t>
      </w:r>
    </w:p>
    <w:p>
      <w:pPr>
        <w:spacing w:after="60" w:before="60"/>
        <w:jc w:val="left"/>
      </w:pPr>
      <w:r>
        <w:rPr>
          <w:rFonts w:ascii="Calibri" w:cs="Calibri" w:eastAsia="Calibri" w:hAnsi="Calibri"/>
          <w:b w:val="false"/>
          <w:bCs w:val="false"/>
          <w:i w:val="false"/>
          <w:iCs w:val="false"/>
          <w:color w:val="000000"/>
          <w:sz w:val="18"/>
          <w:szCs w:val="18"/>
        </w:rPr>
        <w:t xml:space="preserve">The cost of the pivot is two new datapath blocks (LUT-SiLU and maxpool/SPPF) and three addressing problems (concat, split, upsample). The existing compute spine — array, SDDU, accumulator, requantisation — is unchanged.</w:t>
      </w:r>
    </w:p>
    <w:p>
      <w:pPr>
        <w:pStyle w:val="Heading2"/>
        <w:spacing w:after="120" w:before="240"/>
      </w:pPr>
      <w:r>
        <w:rPr>
          <w:rFonts w:ascii="Calibri" w:cs="Calibri" w:eastAsia="Calibri" w:hAnsi="Calibri"/>
          <w:b/>
          <w:bCs/>
          <w:color w:val="1F3864"/>
          <w:sz w:val="22"/>
          <w:szCs w:val="22"/>
        </w:rPr>
        <w:t xml:space="preserve">3.2 Operator Placement</w:t>
      </w:r>
    </w:p>
    <w:p>
      <w:pPr>
        <w:spacing w:after="60" w:before="60"/>
        <w:jc w:val="left"/>
      </w:pPr>
      <w:r>
        <w:rPr>
          <w:rFonts w:ascii="Calibri" w:cs="Calibri" w:eastAsia="Calibri" w:hAnsi="Calibri"/>
          <w:b w:val="false"/>
          <w:bCs w:val="false"/>
          <w:i w:val="false"/>
          <w:iCs w:val="false"/>
          <w:color w:val="000000"/>
          <w:sz w:val="18"/>
          <w:szCs w:val="18"/>
        </w:rPr>
        <w:t xml:space="preserve">Every YOLOv8n operator falls into exactly one of three attachment buckets. The bucket determines the implementation cost and is the organising principle for phases P2 through P5.</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3000"/>
        <w:gridCol w:w="8800"/>
      </w:tblGrid>
      <w:tr>
        <w:trPr>
          <w:tblHeader/>
        </w:trPr>
        <w:tc>
          <w:tcPr>
            <w:tcW w:type="dxa" w:w="2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Operator</w:t>
            </w:r>
          </w:p>
        </w:tc>
        <w:tc>
          <w:tcPr>
            <w:tcW w:type="dxa" w:w="3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Bucket</w:t>
            </w:r>
          </w:p>
        </w:tc>
        <w:tc>
          <w:tcPr>
            <w:tcW w:type="dxa" w:w="88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Justification</w:t>
            </w:r>
          </w:p>
        </w:tc>
      </w:tr>
      <w:tr>
        <w:trPr>
          <w:tblHeader w:val="false"/>
        </w:trPr>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Conv 3×3 / 1×1</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Compute core (exists)</w:t>
            </w:r>
          </w:p>
        </w:tc>
        <w:tc>
          <w:tcPr>
            <w:tcW w:type="dxa" w:w="8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Tiled GEMM. No datapath change required.</w:t>
            </w:r>
          </w:p>
        </w:tc>
      </w:tr>
      <w:tr>
        <w:trPr>
          <w:tblHeader w:val="false"/>
        </w:trPr>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SiLU</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Drain path (in-line)</w:t>
            </w:r>
          </w:p>
        </w:tc>
        <w:tc>
          <w:tcPr>
            <w:tcW w:type="dxa" w:w="8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Per-element. A software implementation would round-trip every activation tensor to the host between layers and destroy layer chaining.</w:t>
            </w:r>
          </w:p>
        </w:tc>
      </w:tr>
      <w:tr>
        <w:trPr>
          <w:tblHeader w:val="false"/>
        </w:trPr>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Maxpool / SPPF</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Between-layer engine</w:t>
            </w:r>
          </w:p>
        </w:tc>
        <w:tc>
          <w:tcPr>
            <w:tcW w:type="dxa" w:w="8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5×5 pooling window requires a completed tensor resident in SRAM before it can emit a single output. Cannot consume the drain stream directly.</w:t>
            </w:r>
          </w:p>
        </w:tc>
      </w:tr>
      <w:tr>
        <w:trPr>
          <w:tblHeader w:val="false"/>
        </w:trPr>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Concat</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Addressing only</w:t>
            </w:r>
          </w:p>
        </w:tc>
        <w:tc>
          <w:tcPr>
            <w:tcW w:type="dxa" w:w="8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Two convolutions writing adjacent regions of one output buffer is a concatenation. Zero RTL if o_base can express it.</w:t>
            </w:r>
          </w:p>
        </w:tc>
      </w:tr>
      <w:tr>
        <w:trPr>
          <w:tblHeader w:val="false"/>
        </w:trPr>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Split</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Addressing only</w:t>
            </w:r>
          </w:p>
        </w:tc>
        <w:tc>
          <w:tcPr>
            <w:tcW w:type="dxa" w:w="8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Base-plus-offset on the read side. A tensor view, not a data movement.</w:t>
            </w:r>
          </w:p>
        </w:tc>
      </w:tr>
      <w:tr>
        <w:trPr>
          <w:tblHeader w:val="false"/>
        </w:trPr>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Upsample</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Addressing / sequencing</w:t>
            </w:r>
          </w:p>
        </w:tc>
        <w:tc>
          <w:tcPr>
            <w:tcW w:type="dxa" w:w="8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Nearest-neighbour is a read-address repeat pattern, not arithmetic.</w:t>
            </w:r>
          </w:p>
        </w:tc>
      </w:tr>
      <w:tr>
        <w:trPr>
          <w:tblHeader w:val="false"/>
        </w:trPr>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Detection decode / NMS</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Host software</w:t>
            </w:r>
          </w:p>
        </w:tc>
        <w:tc>
          <w:tcPr>
            <w:tcW w:type="dxa" w:w="8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Standard industry partition. Explicitly non-claimed as hardware.</w:t>
            </w:r>
          </w:p>
        </w:tc>
      </w:tr>
    </w:tbl>
    <w:p>
      <w:pPr>
        <w:pStyle w:val="Heading2"/>
        <w:spacing w:after="120" w:before="240"/>
      </w:pPr>
      <w:r>
        <w:rPr>
          <w:rFonts w:ascii="Calibri" w:cs="Calibri" w:eastAsia="Calibri" w:hAnsi="Calibri"/>
          <w:b/>
          <w:bCs/>
          <w:color w:val="1F3864"/>
          <w:sz w:val="22"/>
          <w:szCs w:val="22"/>
        </w:rPr>
        <w:t xml:space="preserve">3.3 LUT-SiLU Sizing</w:t>
      </w:r>
    </w:p>
    <w:p>
      <w:pPr>
        <w:spacing w:after="60" w:before="60"/>
        <w:jc w:val="left"/>
      </w:pPr>
      <w:r>
        <w:rPr>
          <w:rFonts w:ascii="Calibri" w:cs="Calibri" w:eastAsia="Calibri" w:hAnsi="Calibri"/>
          <w:b w:val="false"/>
          <w:bCs w:val="false"/>
          <w:i w:val="false"/>
          <w:iCs w:val="false"/>
          <w:color w:val="000000"/>
          <w:sz w:val="18"/>
          <w:szCs w:val="18"/>
        </w:rPr>
        <w:t xml:space="preserve">SiLU is placed after requantisation, indexing the INT8 code. The sizing argument is decisive:</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5200"/>
        <w:gridCol w:w="3000"/>
        <w:gridCol w:w="6200"/>
      </w:tblGrid>
      <w:tr>
        <w:trPr>
          <w:tblHeader/>
        </w:trPr>
        <w:tc>
          <w:tcPr>
            <w:tcW w:type="dxa" w:w="5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Placement</w:t>
            </w:r>
          </w:p>
        </w:tc>
        <w:tc>
          <w:tcPr>
            <w:tcW w:type="dxa" w:w="3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Table depth</w:t>
            </w:r>
          </w:p>
        </w:tc>
        <w:tc>
          <w:tcPr>
            <w:tcW w:type="dxa" w:w="6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Consequence</w:t>
            </w:r>
          </w:p>
        </w:tc>
      </w:tr>
      <w:tr>
        <w:trPr>
          <w:tblHeader w:val="false"/>
        </w:trPr>
        <w:tc>
          <w:tcPr>
            <w:tcW w:type="dxa" w:w="5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Indexed post-requant (INT8)</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2⁸ = 256 entries</w:t>
            </w:r>
          </w:p>
        </w:tc>
        <w:tc>
          <w:tcPr>
            <w:tcW w:type="dxa" w:w="6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256-byte table. Negligible area — smaller than one row of the accumulator buffer.</w:t>
            </w:r>
          </w:p>
        </w:tc>
      </w:tr>
      <w:tr>
        <w:trPr>
          <w:tblHeader w:val="false"/>
        </w:trPr>
        <w:tc>
          <w:tcPr>
            <w:tcW w:type="dxa" w:w="5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Indexed pre-requant (INT33 accumulator)</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2³³ = 8,589,934,592 entries</w:t>
            </w:r>
          </w:p>
        </w:tc>
        <w:tc>
          <w:tcPr>
            <w:tcW w:type="dxa" w:w="6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Approximately 8.6 GB of table storage. Physically impossible on any edge device.</w:t>
            </w:r>
          </w:p>
        </w:tc>
      </w:tr>
    </w:tbl>
    <w:p>
      <w:pPr>
        <w:spacing w:after="60" w:before="60"/>
        <w:jc w:val="left"/>
      </w:pPr>
      <w:r>
        <w:rPr>
          <w:rFonts w:ascii="Calibri" w:cs="Calibri" w:eastAsia="Calibri" w:hAnsi="Calibri"/>
          <w:b w:val="false"/>
          <w:bCs w:val="false"/>
          <w:i w:val="false"/>
          <w:iCs w:val="false"/>
          <w:color w:val="000000"/>
          <w:sz w:val="18"/>
          <w:szCs w:val="18"/>
        </w:rPr>
        <w:t xml:space="preserve">Because table contents depend on the per-layer quantisation scale and zero point, the LUT is implemented as a small SRAM loaded by DMA at layer start, not as a hardwired ROM. The existing decision to apply activation after requantisation (§2.1) is therefore load-bearing for this design and is not revisited.</w:t>
      </w:r>
    </w:p>
    <w:p>
      <w:pPr>
        <w:pStyle w:val="Heading1"/>
        <w:spacing w:after="120" w:before="240"/>
      </w:pPr>
      <w:r>
        <w:rPr>
          <w:rFonts w:ascii="Calibri" w:cs="Calibri" w:eastAsia="Calibri" w:hAnsi="Calibri"/>
          <w:b/>
          <w:bCs/>
          <w:color w:val="1F3864"/>
          <w:sz w:val="28"/>
          <w:szCs w:val="28"/>
        </w:rPr>
        <w:t xml:space="preserve">4. Full Scope Definition</w:t>
      </w:r>
    </w:p>
    <w:p>
      <w:pPr>
        <w:spacing w:after="60" w:before="60"/>
        <w:jc w:val="left"/>
      </w:pPr>
      <w:r>
        <w:rPr>
          <w:rFonts w:ascii="Calibri" w:cs="Calibri" w:eastAsia="Calibri" w:hAnsi="Calibri"/>
          <w:b w:val="false"/>
          <w:bCs w:val="false"/>
          <w:i w:val="false"/>
          <w:iCs w:val="false"/>
          <w:color w:val="000000"/>
          <w:sz w:val="18"/>
          <w:szCs w:val="18"/>
        </w:rPr>
        <w:t xml:space="preserve">The v4.8 plan trimmed approximately 65% of the architecture specification to protect the April deadline. That trim was priced before the three-bucket analysis in §3.2, which establishes that concat, split and upsample require addressing work rather than datapath work. This revision restores the full specification. The table below is the controlling scope matrix.</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4000"/>
        <w:gridCol w:w="6400"/>
        <w:gridCol w:w="4000"/>
      </w:tblGrid>
      <w:tr>
        <w:trPr>
          <w:tblHeader/>
        </w:trPr>
        <w:tc>
          <w:tcPr>
            <w:tcW w:type="dxa" w:w="4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Target</w:t>
            </w:r>
          </w:p>
        </w:tc>
        <w:tc>
          <w:tcPr>
            <w:tcW w:type="dxa" w:w="6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Description</w:t>
            </w:r>
          </w:p>
        </w:tc>
        <w:tc>
          <w:tcPr>
            <w:tcW w:type="dxa" w:w="4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Status in this plan</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Baseline INT8 Conv/GEMM</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N=8, 8×8 PE array, INT8 activations and weights, INT32 accumulation, SDDU, requantisation</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Complete — verified in Phase 0</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Conv2D window generation</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1×1 and 3×3, stride 1 and 2, padding, NHWC tile addressing</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1–2</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LUT-SiLU activation</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256-entry table, per-layer DMA reload</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4</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Multi-layer chaining</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Layer-boundary handoff, ping-pong ownership, no host intervention</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5–8</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Maxpool / SPPF</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Compare tree, 2×2 and 5×5 windows, repeated pooling</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9</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Concat / split / upsample</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Addressing and sequencing, no new datapath</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10</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Tensor Table</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Tensor ID to base/shape/stride resolution</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11</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Graph scheduler</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In-order sequencing, dependency tracking, branch and rejoin</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12–13</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C2f block sequencing</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Split, n bottlenecks, concat, conv</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14</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Elementwise / residual</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Residual add with dual-scale INT8 rescaling</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15</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Detect head</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Three-scale convolution and raw tensor export</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16</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DMA arbitration</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Prefetch versus writeback priority, starvation avoidance</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17</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Interrupt and performance counters</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Done, error and performance events; full cycle accounting</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 18</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Network bring-up</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Full YOLOv8n forward pass with measured mAP</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20–24</w:t>
            </w:r>
          </w:p>
        </w:tc>
      </w:tr>
      <w:tr>
        <w:trPr>
          <w:tblHeader w:val="false"/>
        </w:trPr>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Synthesis and characterisation</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Gate count, f_max, area, power, per-layer utilization</w:t>
            </w:r>
          </w:p>
        </w:tc>
        <w:tc>
          <w:tcPr>
            <w:tcW w:type="dxa" w:w="4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25–28</w:t>
            </w:r>
          </w:p>
        </w:tc>
      </w:tr>
      <w:tr>
        <w:trPr>
          <w:tblHeader w:val="false"/>
        </w:trPr>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Detection decode and NMS</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Host-side software</w:t>
            </w:r>
          </w:p>
        </w:tc>
        <w:tc>
          <w:tcPr>
            <w:tcW w:type="dxa" w:w="4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Explicit non-goal as hardware</w:t>
            </w:r>
          </w:p>
        </w:tc>
      </w:tr>
    </w:tbl>
    <w:p>
      <w:pPr>
        <w:pStyle w:val="Heading2"/>
        <w:spacing w:after="120" w:before="240"/>
      </w:pPr>
      <w:r>
        <w:rPr>
          <w:rFonts w:ascii="Calibri" w:cs="Calibri" w:eastAsia="Calibri" w:hAnsi="Calibri"/>
          <w:b/>
          <w:bCs/>
          <w:color w:val="1F3864"/>
          <w:sz w:val="22"/>
          <w:szCs w:val="22"/>
        </w:rPr>
        <w:t xml:space="preserve">4.1 Explicit Non-Goals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No claim of hardware detection decode or hardware NMS. Both are host-side software components by design.</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No claim of real-time frame rate. See §5.</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No claim of DDR production integration or silicon tape-out.</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No N=16 physical implementation. N=16 appears only as an analytical scaling projection in Week 28.</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No sparsity acceleration.</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No measured FPGA timing closure unless the tools and hardware evidence actually exist at Week 26.</w:t>
      </w:r>
    </w:p>
    <w:p>
      <w:r>
        <w:br w:type="page"/>
      </w:r>
    </w:p>
    <w:p>
      <w:pPr>
        <w:pStyle w:val="Heading1"/>
        <w:spacing w:after="120" w:before="240"/>
      </w:pPr>
      <w:r>
        <w:rPr>
          <w:rFonts w:ascii="Calibri" w:cs="Calibri" w:eastAsia="Calibri" w:hAnsi="Calibri"/>
          <w:b/>
          <w:bCs/>
          <w:color w:val="1F3864"/>
          <w:sz w:val="28"/>
          <w:szCs w:val="28"/>
        </w:rPr>
        <w:t xml:space="preserve">5. Throughput Position and Claim Boundary</w:t>
      </w:r>
    </w:p>
    <w:p>
      <w:pPr>
        <w:spacing w:after="60" w:before="60"/>
        <w:jc w:val="left"/>
      </w:pPr>
      <w:r>
        <w:rPr>
          <w:rFonts w:ascii="Calibri" w:cs="Calibri" w:eastAsia="Calibri" w:hAnsi="Calibri"/>
          <w:b w:val="false"/>
          <w:bCs w:val="false"/>
          <w:i w:val="false"/>
          <w:iCs w:val="false"/>
          <w:color w:val="000000"/>
          <w:sz w:val="18"/>
          <w:szCs w:val="18"/>
        </w:rPr>
        <w:t xml:space="preserve">This section is placed early and deliberately. It is reproduced in the thesis abstract rather than deferred to the results chapter, because a reviewer who derives this arithmetic independently before encountering it in the document has cause to distrust everything around it.</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5600"/>
        <w:gridCol w:w="8800"/>
      </w:tblGrid>
      <w:tr>
        <w:trPr>
          <w:tblHeader/>
        </w:trPr>
        <w:tc>
          <w:tcPr>
            <w:tcW w:type="dxa" w:w="5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Quantity</w:t>
            </w:r>
          </w:p>
        </w:tc>
        <w:tc>
          <w:tcPr>
            <w:tcW w:type="dxa" w:w="88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Value</w:t>
            </w:r>
          </w:p>
        </w:tc>
      </w:tr>
      <w:tr>
        <w:trPr>
          <w:tblHeader w:val="false"/>
        </w:trPr>
        <w:tc>
          <w:tcPr>
            <w:tcW w:type="dxa" w:w="5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YOLOv8n compute at 640×640</w:t>
            </w:r>
          </w:p>
        </w:tc>
        <w:tc>
          <w:tcPr>
            <w:tcW w:type="dxa" w:w="8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≈4.4 GMAC per frame</w:t>
            </w:r>
          </w:p>
        </w:tc>
      </w:tr>
      <w:tr>
        <w:trPr>
          <w:tblHeader w:val="false"/>
        </w:trPr>
        <w:tc>
          <w:tcPr>
            <w:tcW w:type="dxa" w:w="5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Array peak</w:t>
            </w:r>
          </w:p>
        </w:tc>
        <w:tc>
          <w:tcPr>
            <w:tcW w:type="dxa" w:w="8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64 MAC/cycle (8×8, one MAC per PE per cycle)</w:t>
            </w:r>
          </w:p>
        </w:tc>
      </w:tr>
      <w:tr>
        <w:trPr>
          <w:tblHeader w:val="false"/>
        </w:trPr>
        <w:tc>
          <w:tcPr>
            <w:tcW w:type="dxa" w:w="5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Cycles at 100% utilization</w:t>
            </w:r>
          </w:p>
        </w:tc>
        <w:tc>
          <w:tcPr>
            <w:tcW w:type="dxa" w:w="8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≈68.75 million cycles per frame</w:t>
            </w:r>
          </w:p>
        </w:tc>
      </w:tr>
      <w:tr>
        <w:trPr>
          <w:tblHeader w:val="false"/>
        </w:trPr>
        <w:tc>
          <w:tcPr>
            <w:tcW w:type="dxa" w:w="5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Frame time at 200 MHz, perfect utilization</w:t>
            </w:r>
          </w:p>
        </w:tc>
        <w:tc>
          <w:tcPr>
            <w:tcW w:type="dxa" w:w="8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≈0.34 s</w:t>
            </w:r>
          </w:p>
        </w:tc>
      </w:tr>
      <w:tr>
        <w:trPr>
          <w:tblHeader w:val="false"/>
        </w:trPr>
        <w:tc>
          <w:tcPr>
            <w:tcW w:type="dxa" w:w="5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Realistic frame time including stalls and DMA wait</w:t>
            </w:r>
          </w:p>
        </w:tc>
        <w:tc>
          <w:tcPr>
            <w:tcW w:type="dxa" w:w="8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≈1–2 s</w:t>
            </w:r>
          </w:p>
        </w:tc>
      </w:tr>
      <w:tr>
        <w:trPr>
          <w:tblHeader w:val="false"/>
        </w:trPr>
        <w:tc>
          <w:tcPr>
            <w:tcW w:type="dxa" w:w="5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Deliverable</w:t>
            </w:r>
          </w:p>
        </w:tc>
        <w:tc>
          <w:tcPr>
            <w:tcW w:type="dxa" w:w="8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Correct INT8 inference — not real-time detection</w:t>
            </w:r>
          </w:p>
        </w:tc>
      </w:tr>
    </w:tbl>
    <w:p>
      <w:pPr>
        <w:spacing w:after="60" w:before="60"/>
        <w:jc w:val="left"/>
      </w:pPr>
      <w:r>
        <w:rPr>
          <w:rFonts w:ascii="Calibri" w:cs="Calibri" w:eastAsia="Calibri" w:hAnsi="Calibri"/>
          <w:b w:val="false"/>
          <w:bCs w:val="false"/>
          <w:i w:val="false"/>
          <w:iCs w:val="false"/>
          <w:color w:val="000000"/>
          <w:sz w:val="18"/>
          <w:szCs w:val="18"/>
        </w:rPr>
        <w:t xml:space="preserve">The honest claim is functional offload and kernel-level acceleration of YOLOv8n compute layers, together with a characterised scaling analysis establishing what array width, clock frequency and SRAM capacity this architecture would require for real-time operation. That analysis is a stronger contribution than a partially working real-time demonstration, and it is what Week 28 produces.</w:t>
      </w:r>
    </w:p>
    <w:p>
      <w:pPr>
        <w:spacing w:after="60" w:before="60"/>
        <w:jc w:val="left"/>
      </w:pPr>
      <w:r>
        <w:rPr>
          <w:rFonts w:ascii="Calibri" w:cs="Calibri" w:eastAsia="Calibri" w:hAnsi="Calibri"/>
          <w:b w:val="false"/>
          <w:bCs w:val="false"/>
          <w:i w:val="false"/>
          <w:iCs w:val="false"/>
          <w:color w:val="000000"/>
          <w:sz w:val="18"/>
          <w:szCs w:val="18"/>
        </w:rPr>
        <w:t xml:space="preserve">One configuration lever is available and will be characterised: a 320×320 input reduces the MAC count by approximately 4×. This is a configuration change rather than a redesign.</w:t>
      </w:r>
    </w:p>
    <w:p>
      <w:pPr>
        <w:pStyle w:val="Heading1"/>
        <w:spacing w:after="120" w:before="240"/>
      </w:pPr>
      <w:r>
        <w:rPr>
          <w:rFonts w:ascii="Calibri" w:cs="Calibri" w:eastAsia="Calibri" w:hAnsi="Calibri"/>
          <w:b/>
          <w:bCs/>
          <w:color w:val="1F3864"/>
          <w:sz w:val="28"/>
          <w:szCs w:val="28"/>
        </w:rPr>
        <w:t xml:space="preserve">6. Team Organization and Work Ownership</w:t>
      </w:r>
    </w:p>
    <w:p>
      <w:pPr>
        <w:spacing w:after="60" w:before="60"/>
        <w:jc w:val="left"/>
      </w:pPr>
      <w:r>
        <w:rPr>
          <w:rFonts w:ascii="Calibri" w:cs="Calibri" w:eastAsia="Calibri" w:hAnsi="Calibri"/>
          <w:b w:val="false"/>
          <w:bCs w:val="false"/>
          <w:i w:val="false"/>
          <w:iCs w:val="false"/>
          <w:color w:val="000000"/>
          <w:sz w:val="18"/>
          <w:szCs w:val="18"/>
        </w:rPr>
        <w:t xml:space="preserve">The split below follows the boundary that already emerged organically during Phase 0 and is retained deliberately. Integration weeks are joint and neither track proceeds independently through them.</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4200"/>
        <w:gridCol w:w="1800"/>
        <w:gridCol w:w="1800"/>
        <w:gridCol w:w="6600"/>
      </w:tblGrid>
      <w:tr>
        <w:trPr>
          <w:tblHeader/>
        </w:trPr>
        <w:tc>
          <w:tcPr>
            <w:tcW w:type="dxa" w:w="4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Subsystem / activity</w:t>
            </w:r>
          </w:p>
        </w:tc>
        <w:tc>
          <w:tcPr>
            <w:tcW w:type="dxa" w:w="18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Primary</w:t>
            </w:r>
          </w:p>
        </w:tc>
        <w:tc>
          <w:tcPr>
            <w:tcW w:type="dxa" w:w="18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Secondary</w:t>
            </w:r>
          </w:p>
        </w:tc>
        <w:tc>
          <w:tcPr>
            <w:tcW w:type="dxa" w:w="6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Notes</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System packages and types</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A+B</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Joint</w:t>
            </w:r>
          </w:p>
        </w:tc>
        <w:tc>
          <w:tcPr>
            <w:tcW w:type="dxa" w:w="6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Widths, enums and metadata structures are frozen jointly. Unilateral changes to config_pkg are prohibited.</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PE, systolic array, SDDU</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 reviews</w:t>
            </w:r>
          </w:p>
        </w:tc>
        <w:tc>
          <w:tcPr>
            <w:tcW w:type="dxa" w:w="6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Complete. Maintenance only.</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Accumulator and requantisation</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 reviews</w:t>
            </w:r>
          </w:p>
        </w:tc>
        <w:tc>
          <w:tcPr>
            <w:tcW w:type="dxa" w:w="6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Complete. Maintenance only.</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Conv2D window generation, tile sequencing</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 reviews</w:t>
            </w:r>
          </w:p>
        </w:tc>
        <w:tc>
          <w:tcPr>
            <w:tcW w:type="dxa" w:w="6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1–2. Critical path for the entire plan.</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LUT-SiLU, maxpool/SPPF, elementwise</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 reviews</w:t>
            </w:r>
          </w:p>
        </w:tc>
        <w:tc>
          <w:tcPr>
            <w:tcW w:type="dxa" w:w="6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4, 9, 15.</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Python golden model and vector generation</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 consumes</w:t>
            </w:r>
          </w:p>
        </w:tc>
        <w:tc>
          <w:tcPr>
            <w:tcW w:type="dxa" w:w="6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owns the reference; B owns the regression runner.</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CSR, descriptor manager, dispatcher</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reviews</w:t>
            </w:r>
          </w:p>
        </w:tc>
        <w:tc>
          <w:tcPr>
            <w:tcW w:type="dxa" w:w="6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Complete. Extension in Weeks 1, 6.</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Descriptor ring, Tensor Table, graph scheduler</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reviews</w:t>
            </w:r>
          </w:p>
        </w:tc>
        <w:tc>
          <w:tcPr>
            <w:tcW w:type="dxa" w:w="6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6, 11, 12–13. Highest-uncertainty control work.</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DMA, SRAMs, bank state, packing FIFO, arbiter</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reviews</w:t>
            </w:r>
          </w:p>
        </w:tc>
        <w:tc>
          <w:tcPr>
            <w:tcW w:type="dxa" w:w="6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Complete except arbiter (Week 17).</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Host driver and demo software</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reviews</w:t>
            </w:r>
          </w:p>
        </w:tc>
        <w:tc>
          <w:tcPr>
            <w:tcW w:type="dxa" w:w="6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20–23, 29–30.</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Synthesis, timing, area, power</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supports</w:t>
            </w:r>
          </w:p>
        </w:tc>
        <w:tc>
          <w:tcPr>
            <w:tcW w:type="dxa" w:w="6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Weeks 25–27. A owns lint and critical-path fixes.</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Regression infrastructure and CI</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w:t>
            </w:r>
          </w:p>
        </w:tc>
        <w:tc>
          <w:tcPr>
            <w:tcW w:type="dxa" w:w="1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 contributes tests</w:t>
            </w:r>
          </w:p>
        </w:tc>
        <w:tc>
          <w:tcPr>
            <w:tcW w:type="dxa" w:w="6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 owns the runner; every designer writes the first tests for their own blocks.</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Integration weeks (1, 5, 7, 21–23, 29)</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Joint</w:t>
            </w:r>
          </w:p>
        </w:tc>
        <w:tc>
          <w:tcPr>
            <w:tcW w:type="dxa" w:w="1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Joint</w:t>
            </w:r>
          </w:p>
        </w:tc>
        <w:tc>
          <w:tcPr>
            <w:tcW w:type="dxa" w:w="6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Neither track proceeds alone.</w:t>
            </w:r>
          </w:p>
        </w:tc>
      </w:tr>
    </w:tbl>
    <w:p>
      <w:pPr>
        <w:pStyle w:val="Heading2"/>
        <w:spacing w:after="120" w:before="240"/>
      </w:pPr>
      <w:r>
        <w:rPr>
          <w:rFonts w:ascii="Calibri" w:cs="Calibri" w:eastAsia="Calibri" w:hAnsi="Calibri"/>
          <w:b/>
          <w:bCs/>
          <w:color w:val="1F3864"/>
          <w:sz w:val="22"/>
          <w:szCs w:val="22"/>
        </w:rPr>
        <w:t xml:space="preserve">6.1 Weekly Operating Procedure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Day 1: planning meeting. Confirm the weekly gate, split tasks and define the evidence required to close it.</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Days 2–4: implementation and local unit tests. Every committed RTL block carries at least one directed test or an explicit TODO status.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Day 5: peer review. Person A reviews control and memory changes; Person B reviews datapath changes and tests.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Day 6: integration and regression run. Waveform capture for every timing-sensitive change.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Day 7: bug fixes, documentation update and the weekly gate decision. The next major phase does not begin until the gate is closed or explicitly waived with the risk logged.</w:t>
      </w:r>
    </w:p>
    <w:p>
      <w:pPr>
        <w:pStyle w:val="Heading2"/>
        <w:spacing w:after="120" w:before="240"/>
      </w:pPr>
      <w:r>
        <w:rPr>
          <w:rFonts w:ascii="Calibri" w:cs="Calibri" w:eastAsia="Calibri" w:hAnsi="Calibri"/>
          <w:b/>
          <w:bCs/>
          <w:color w:val="1F3864"/>
          <w:sz w:val="22"/>
          <w:szCs w:val="22"/>
        </w:rPr>
        <w:t xml:space="preserve">6.2 Mandatory Process Requirement — Branch and Pull Request</w:t>
      </w:r>
    </w:p>
    <w:tbl>
      <w:tblPr>
        <w:tblW w:type="dxa" w:w="14400"/>
        <w:tblBorders>
          <w:top w:val="single" w:color="BF9000" w:sz="6"/>
          <w:left w:val="single" w:color="BF9000" w:sz="6"/>
          <w:bottom w:val="single" w:color="BF9000" w:sz="6"/>
          <w:right w:val="single" w:color="BF9000" w:sz="6"/>
          <w:insideH w:val="none"/>
          <w:insideV w:val="none"/>
        </w:tblBorders>
      </w:tblPr>
      <w:tblGrid>
        <w:gridCol w:w="14400"/>
      </w:tblGrid>
      <w:tr>
        <w:tc>
          <w:tcPr>
            <w:tcW w:type="dxa" w:w="14400"/>
            <w:shd w:fill="FFF2CC" w:color="auto" w:val="clear"/>
            <w:tcMar>
              <w:top w:type="dxa" w:w="100"/>
              <w:left w:type="dxa" w:w="140"/>
              <w:bottom w:type="dxa" w:w="100"/>
              <w:right w:type="dxa" w:w="140"/>
            </w:tcMar>
          </w:tcPr>
          <w:p>
            <w:pPr>
              <w:spacing w:after="60"/>
            </w:pPr>
            <w:r>
              <w:rPr>
                <w:rFonts w:ascii="Calibri" w:cs="Calibri" w:eastAsia="Calibri" w:hAnsi="Calibri"/>
                <w:b/>
                <w:bCs/>
                <w:i w:val="false"/>
                <w:iCs w:val="false"/>
                <w:color w:val="000000"/>
                <w:sz w:val="17"/>
                <w:szCs w:val="17"/>
              </w:rPr>
              <w:t xml:space="preserve">Version control discipline</w:t>
            </w:r>
          </w:p>
          <w:p>
            <w:pPr>
              <w:spacing w:after="30" w:before="30"/>
            </w:pPr>
            <w:r>
              <w:rPr>
                <w:rFonts w:ascii="Calibri" w:cs="Calibri" w:eastAsia="Calibri" w:hAnsi="Calibri"/>
                <w:b w:val="false"/>
                <w:bCs w:val="false"/>
                <w:i w:val="false"/>
                <w:iCs w:val="false"/>
                <w:color w:val="000000"/>
                <w:sz w:val="16"/>
                <w:szCs w:val="16"/>
              </w:rPr>
              <w:t xml:space="preserve">All contributions land via branch and pull request. Direct file re-upload through the GitHub web UI is prohibited without exception.</w:t>
            </w:r>
          </w:p>
          <w:p>
            <w:pPr>
              <w:spacing w:after="30" w:before="30"/>
            </w:pPr>
            <w:r>
              <w:rPr>
                <w:rFonts w:ascii="Calibri" w:cs="Calibri" w:eastAsia="Calibri" w:hAnsi="Calibri"/>
                <w:b w:val="false"/>
                <w:bCs w:val="false"/>
                <w:i w:val="false"/>
                <w:iCs w:val="false"/>
                <w:color w:val="000000"/>
                <w:sz w:val="16"/>
                <w:szCs w:val="16"/>
              </w:rPr>
              <w:t xml:space="preserve">Justification: a prior re-upload of config_pkg.sv silently deleted five localparam definitions (ARRAY_N, ACT_W, WGT_W, OUT_W, ACC_BUFF) and broke four previously verified modules. File-level re-uploads do not produce meaningful diffs, so the regression was invisible in review.</w:t>
            </w:r>
          </w:p>
          <w:p>
            <w:pPr>
              <w:spacing w:after="30" w:before="30"/>
            </w:pPr>
            <w:r>
              <w:rPr>
                <w:rFonts w:ascii="Calibri" w:cs="Calibri" w:eastAsia="Calibri" w:hAnsi="Calibri"/>
                <w:b w:val="false"/>
                <w:bCs w:val="false"/>
                <w:i w:val="false"/>
                <w:iCs w:val="false"/>
                <w:color w:val="000000"/>
                <w:sz w:val="16"/>
                <w:szCs w:val="16"/>
              </w:rPr>
              <w:t xml:space="preserve">Enforcement: from Week 3, continuous integration runs make all on every pull request and blocks merge on failure. This is the single highest-value process control in the plan and closes the largest identified regression risk.</w:t>
            </w:r>
          </w:p>
        </w:tc>
      </w:tr>
    </w:tbl>
    <w:p>
      <w:r>
        <w:br w:type="page"/>
      </w:r>
    </w:p>
    <w:p>
      <w:pPr>
        <w:pStyle w:val="Heading1"/>
        <w:spacing w:after="120" w:before="240"/>
      </w:pPr>
      <w:r>
        <w:rPr>
          <w:rFonts w:ascii="Calibri" w:cs="Calibri" w:eastAsia="Calibri" w:hAnsi="Calibri"/>
          <w:b/>
          <w:bCs/>
          <w:color w:val="1F3864"/>
          <w:sz w:val="28"/>
          <w:szCs w:val="28"/>
        </w:rPr>
        <w:t xml:space="preserve">7. Phase Overview and Milestone Gates</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1000"/>
        <w:gridCol w:w="2200"/>
        <w:gridCol w:w="3200"/>
        <w:gridCol w:w="8000"/>
      </w:tblGrid>
      <w:tr>
        <w:trPr>
          <w:tblHeader/>
        </w:trPr>
        <w:tc>
          <w:tcPr>
            <w:tcW w:type="dxa" w:w="1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Phase</w:t>
            </w:r>
          </w:p>
        </w:tc>
        <w:tc>
          <w:tcPr>
            <w:tcW w:type="dxa" w:w="2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Weeks</w:t>
            </w:r>
          </w:p>
        </w:tc>
        <w:tc>
          <w:tcPr>
            <w:tcW w:type="dxa" w:w="3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Focus</w:t>
            </w:r>
          </w:p>
        </w:tc>
        <w:tc>
          <w:tcPr>
            <w:tcW w:type="dxa" w:w="8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Exit gate</w:t>
            </w:r>
          </w:p>
        </w:tc>
      </w:tr>
      <w:tr>
        <w:trPr>
          <w:tblHeader w:val="false"/>
        </w:trPr>
        <w:tc>
          <w:tcPr>
            <w:tcW w:type="dxa" w:w="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P1</w:t>
            </w:r>
          </w:p>
        </w:tc>
        <w:tc>
          <w:tcPr>
            <w:tcW w:type="dxa" w:w="2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1–3 (18 Aug – 7 Sep)</w:t>
            </w:r>
          </w:p>
        </w:tc>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Single-layer end-to-end</w:t>
            </w:r>
          </w:p>
        </w:tc>
        <w:tc>
          <w:tcPr>
            <w:tcW w:type="dxa" w:w="8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One conv layer bit-exact from a single descriptor. Integration debug term measured.</w:t>
            </w:r>
          </w:p>
        </w:tc>
      </w:tr>
      <w:tr>
        <w:trPr>
          <w:tblHeader w:val="false"/>
        </w:trPr>
        <w:tc>
          <w:tcPr>
            <w:tcW w:type="dxa" w:w="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P2</w:t>
            </w:r>
          </w:p>
        </w:tc>
        <w:tc>
          <w:tcPr>
            <w:tcW w:type="dxa" w:w="2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4 (8–14 Sep)</w:t>
            </w:r>
          </w:p>
        </w:tc>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LUT-SiLU activation</w:t>
            </w:r>
          </w:p>
        </w:tc>
        <w:tc>
          <w:tcPr>
            <w:tcW w:type="dxa" w:w="8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SiLU bit-exact across the full INT8 domain with per-layer table reload.</w:t>
            </w:r>
          </w:p>
        </w:tc>
      </w:tr>
      <w:tr>
        <w:trPr>
          <w:tblHeader w:val="false"/>
        </w:trPr>
        <w:tc>
          <w:tcPr>
            <w:tcW w:type="dxa" w:w="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P3</w:t>
            </w:r>
          </w:p>
        </w:tc>
        <w:tc>
          <w:tcPr>
            <w:tcW w:type="dxa" w:w="2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5–8 (15 Sep – 12 Oct)</w:t>
            </w:r>
          </w:p>
        </w:tc>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Multi-layer chaining</w:t>
            </w:r>
          </w:p>
        </w:tc>
        <w:tc>
          <w:tcPr>
            <w:tcW w:type="dxa" w:w="8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Five-layer CBS stack matches the reference with no host intervention between layers.</w:t>
            </w:r>
          </w:p>
        </w:tc>
      </w:tr>
      <w:tr>
        <w:trPr>
          <w:tblHeader w:val="false"/>
        </w:trPr>
        <w:tc>
          <w:tcPr>
            <w:tcW w:type="dxa" w:w="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P4</w:t>
            </w:r>
          </w:p>
        </w:tc>
        <w:tc>
          <w:tcPr>
            <w:tcW w:type="dxa" w:w="2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9–10 (13–26 Oct)</w:t>
            </w:r>
          </w:p>
        </w:tc>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YOLO operator set</w:t>
            </w:r>
          </w:p>
        </w:tc>
        <w:tc>
          <w:tcPr>
            <w:tcW w:type="dxa" w:w="8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Maxpool and SPPF bit-exact; concat, split and upsample proven as pure addressing.</w:t>
            </w:r>
          </w:p>
        </w:tc>
      </w:tr>
      <w:tr>
        <w:trPr>
          <w:tblHeader w:val="false"/>
        </w:trPr>
        <w:tc>
          <w:tcPr>
            <w:tcW w:type="dxa" w:w="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P5</w:t>
            </w:r>
          </w:p>
        </w:tc>
        <w:tc>
          <w:tcPr>
            <w:tcW w:type="dxa" w:w="2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11–18 (27 Oct – 21 Dec)</w:t>
            </w:r>
          </w:p>
        </w:tc>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Full-scope control plane</w:t>
            </w:r>
          </w:p>
        </w:tc>
        <w:tc>
          <w:tcPr>
            <w:tcW w:type="dxa" w:w="8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Every module in the architecture specification implemented and unit-verified.</w:t>
            </w:r>
          </w:p>
        </w:tc>
      </w:tr>
      <w:tr>
        <w:trPr>
          <w:tblHeader w:val="false"/>
        </w:trPr>
        <w:tc>
          <w:tcPr>
            <w:tcW w:type="dxa" w:w="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P5b</w:t>
            </w:r>
          </w:p>
        </w:tc>
        <w:tc>
          <w:tcPr>
            <w:tcW w:type="dxa" w:w="2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19–20 (22 Dec – 4 Jan)</w:t>
            </w:r>
          </w:p>
        </w:tc>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Reduced-capacity consolidation</w:t>
            </w:r>
          </w:p>
        </w:tc>
        <w:tc>
          <w:tcPr>
            <w:tcW w:type="dxa" w:w="8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Defect list triaged; full-network Python model complete.</w:t>
            </w:r>
          </w:p>
        </w:tc>
      </w:tr>
      <w:tr>
        <w:trPr>
          <w:tblHeader w:val="false"/>
        </w:trPr>
        <w:tc>
          <w:tcPr>
            <w:tcW w:type="dxa" w:w="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P6</w:t>
            </w:r>
          </w:p>
        </w:tc>
        <w:tc>
          <w:tcPr>
            <w:tcW w:type="dxa" w:w="2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21–24 (5 Jan – 1 Feb)</w:t>
            </w:r>
          </w:p>
        </w:tc>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Network bring-up and accuracy</w:t>
            </w:r>
          </w:p>
        </w:tc>
        <w:tc>
          <w:tcPr>
            <w:tcW w:type="dxa" w:w="8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Full YOLOv8n forward pass on the IP with measured mAP.</w:t>
            </w:r>
          </w:p>
        </w:tc>
      </w:tr>
      <w:tr>
        <w:trPr>
          <w:tblHeader w:val="false"/>
        </w:trPr>
        <w:tc>
          <w:tcPr>
            <w:tcW w:type="dxa" w:w="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P7</w:t>
            </w:r>
          </w:p>
        </w:tc>
        <w:tc>
          <w:tcPr>
            <w:tcW w:type="dxa" w:w="2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25–28 (2 Feb – 1 Mar)</w:t>
            </w:r>
          </w:p>
        </w:tc>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Synthesis and characterisation</w:t>
            </w:r>
          </w:p>
        </w:tc>
        <w:tc>
          <w:tcPr>
            <w:tcW w:type="dxa" w:w="8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Gate count, f_max, area, power and per-layer utilization reported with tool evidence.</w:t>
            </w:r>
          </w:p>
        </w:tc>
      </w:tr>
      <w:tr>
        <w:trPr>
          <w:tblHeader w:val="false"/>
        </w:trPr>
        <w:tc>
          <w:tcPr>
            <w:tcW w:type="dxa" w:w="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P8</w:t>
            </w:r>
          </w:p>
        </w:tc>
        <w:tc>
          <w:tcPr>
            <w:tcW w:type="dxa" w:w="2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29–30 (2–15 Mar)</w:t>
            </w:r>
          </w:p>
        </w:tc>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Demo and performance comparison</w:t>
            </w:r>
          </w:p>
        </w:tc>
        <w:tc>
          <w:tcPr>
            <w:tcW w:type="dxa" w:w="8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CPU-only versus CPU+IP comparison complete with a named baseline.</w:t>
            </w:r>
          </w:p>
        </w:tc>
      </w:tr>
      <w:tr>
        <w:trPr>
          <w:tblHeader w:val="false"/>
        </w:trPr>
        <w:tc>
          <w:tcPr>
            <w:tcW w:type="dxa" w:w="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P9</w:t>
            </w:r>
          </w:p>
        </w:tc>
        <w:tc>
          <w:tcPr>
            <w:tcW w:type="dxa" w:w="2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31–36 (16 Mar – 26 Apr)</w:t>
            </w:r>
          </w:p>
        </w:tc>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Thesis, claim audit, defence</w:t>
            </w:r>
          </w:p>
        </w:tc>
        <w:tc>
          <w:tcPr>
            <w:tcW w:type="dxa" w:w="8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Submitted with every claim mapped to evidence.</w:t>
            </w:r>
          </w:p>
        </w:tc>
      </w:tr>
    </w:tbl>
    <w:p>
      <w:pPr>
        <w:pStyle w:val="Heading2"/>
        <w:spacing w:after="120" w:before="240"/>
      </w:pPr>
      <w:r>
        <w:rPr>
          <w:rFonts w:ascii="Calibri" w:cs="Calibri" w:eastAsia="Calibri" w:hAnsi="Calibri"/>
          <w:b/>
          <w:bCs/>
          <w:color w:val="1F3864"/>
          <w:sz w:val="22"/>
          <w:szCs w:val="22"/>
        </w:rPr>
        <w:t xml:space="preserve">7.1 Mandatory Milestones</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400"/>
        <w:gridCol w:w="2600"/>
        <w:gridCol w:w="8400"/>
      </w:tblGrid>
      <w:tr>
        <w:trPr>
          <w:tblHeader/>
        </w:trPr>
        <w:tc>
          <w:tcPr>
            <w:tcW w:type="dxa" w:w="3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Milestone</w:t>
            </w:r>
          </w:p>
        </w:tc>
        <w:tc>
          <w:tcPr>
            <w:tcW w:type="dxa" w:w="2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Target</w:t>
            </w:r>
          </w:p>
        </w:tc>
        <w:tc>
          <w:tcPr>
            <w:tcW w:type="dxa" w:w="8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Required evidence</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CHECKPOINT — velocity validation</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24 Aug 2026</w:t>
            </w:r>
          </w:p>
        </w:tc>
        <w:tc>
          <w:tcPr>
            <w:tcW w:type="dxa" w:w="8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Bit-exact single conv layer vs. edgeasic_model.py from one descriptor. Measured debug term. Schedule confirmed or formally rebased.</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M1 Single-layer path locked</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7 Sep 2026</w:t>
            </w:r>
          </w:p>
        </w:tc>
        <w:tc>
          <w:tcPr>
            <w:tcW w:type="dxa" w:w="8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1×1, 3×3 stride-1/2, partial tiles, signed and saturating cases all passing. CI green.</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M2 Multi-layer chaining closed</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12 Oct 2026</w:t>
            </w:r>
          </w:p>
        </w:tc>
        <w:tc>
          <w:tcPr>
            <w:tcW w:type="dxa" w:w="8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Five-layer CBS stack bit-exact at every intermediate tensor. Cycle accounting readable from CSRs.</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M3 Full-scope RTL feature-complete</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21 Dec 2026</w:t>
            </w:r>
          </w:p>
        </w:tc>
        <w:tc>
          <w:tcPr>
            <w:tcW w:type="dxa" w:w="8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Every architecture-specification module implemented with a passing TC-ID.</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M4 Accuracy measured</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 Feb 2027</w:t>
            </w:r>
          </w:p>
        </w:tc>
        <w:tc>
          <w:tcPr>
            <w:tcW w:type="dxa" w:w="8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Full YOLOv8n forward pass on the IP; mAP on a COCO subset against the FP32 reference.</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M5 Characterisation complete</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 Mar 2027</w:t>
            </w:r>
          </w:p>
        </w:tc>
        <w:tc>
          <w:tcPr>
            <w:tcW w:type="dxa" w:w="8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Gate count, critical path, f_max, area, power, per-layer utilization, scaling study.</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M6 Submission</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26 Apr 2027</w:t>
            </w:r>
          </w:p>
        </w:tc>
        <w:tc>
          <w:tcPr>
            <w:tcW w:type="dxa" w:w="8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Thesis, demo recording, frozen repository, claim/evidence map. Deadline 30 Apr 2027.</w:t>
            </w:r>
          </w:p>
        </w:tc>
      </w:tr>
    </w:tbl>
    <w:tbl>
      <w:tblPr>
        <w:tblW w:type="dxa" w:w="14400"/>
        <w:tblBorders>
          <w:top w:val="single" w:color="BF9000" w:sz="6"/>
          <w:left w:val="single" w:color="BF9000" w:sz="6"/>
          <w:bottom w:val="single" w:color="BF9000" w:sz="6"/>
          <w:right w:val="single" w:color="BF9000" w:sz="6"/>
          <w:insideH w:val="none"/>
          <w:insideV w:val="none"/>
        </w:tblBorders>
      </w:tblPr>
      <w:tblGrid>
        <w:gridCol w:w="14400"/>
      </w:tblGrid>
      <w:tr>
        <w:tc>
          <w:tcPr>
            <w:tcW w:type="dxa" w:w="14400"/>
            <w:shd w:fill="FFF2CC" w:color="auto" w:val="clear"/>
            <w:tcMar>
              <w:top w:type="dxa" w:w="100"/>
              <w:left w:type="dxa" w:w="140"/>
              <w:bottom w:type="dxa" w:w="100"/>
              <w:right w:type="dxa" w:w="140"/>
            </w:tcMar>
          </w:tcPr>
          <w:p>
            <w:pPr>
              <w:spacing w:after="60"/>
            </w:pPr>
            <w:r>
              <w:rPr>
                <w:rFonts w:ascii="Calibri" w:cs="Calibri" w:eastAsia="Calibri" w:hAnsi="Calibri"/>
                <w:b/>
                <w:bCs/>
                <w:i w:val="false"/>
                <w:iCs w:val="false"/>
                <w:color w:val="000000"/>
                <w:sz w:val="17"/>
                <w:szCs w:val="17"/>
              </w:rPr>
              <w:t xml:space="preserve">Checkpoint rule</w:t>
            </w:r>
          </w:p>
          <w:p>
            <w:pPr>
              <w:spacing w:after="30" w:before="30"/>
            </w:pPr>
            <w:r>
              <w:rPr>
                <w:rFonts w:ascii="Calibri" w:cs="Calibri" w:eastAsia="Calibri" w:hAnsi="Calibri"/>
                <w:b w:val="false"/>
                <w:bCs w:val="false"/>
                <w:i w:val="false"/>
                <w:iCs w:val="false"/>
                <w:color w:val="000000"/>
                <w:sz w:val="16"/>
                <w:szCs w:val="16"/>
              </w:rPr>
              <w:t xml:space="preserve">The Week 1 checkpoint is the load-bearing assumption of this entire schedule. Every subsequent estimate depends on the integration debug term, which cannot be derived analytically and must be measured.</w:t>
            </w:r>
          </w:p>
          <w:p>
            <w:pPr>
              <w:spacing w:after="30" w:before="30"/>
            </w:pPr>
            <w:r>
              <w:rPr>
                <w:rFonts w:ascii="Calibri" w:cs="Calibri" w:eastAsia="Calibri" w:hAnsi="Calibri"/>
                <w:b w:val="false"/>
                <w:bCs w:val="false"/>
                <w:i w:val="false"/>
                <w:iCs w:val="false"/>
                <w:color w:val="000000"/>
                <w:sz w:val="16"/>
                <w:szCs w:val="16"/>
              </w:rPr>
              <w:t xml:space="preserve">If the checkpoint closes on or before 24 August, the schedule proceeds as written.</w:t>
            </w:r>
          </w:p>
          <w:p>
            <w:pPr>
              <w:spacing w:after="30" w:before="30"/>
            </w:pPr>
            <w:r>
              <w:rPr>
                <w:rFonts w:ascii="Calibri" w:cs="Calibri" w:eastAsia="Calibri" w:hAnsi="Calibri"/>
                <w:b w:val="false"/>
                <w:bCs w:val="false"/>
                <w:i w:val="false"/>
                <w:iCs w:val="false"/>
                <w:color w:val="000000"/>
                <w:sz w:val="16"/>
                <w:szCs w:val="16"/>
              </w:rPr>
              <w:t xml:space="preserve">If it slips, the plan rebases immediately and the scope falls back to the trimmed subset plus the addressing-bucket operators (concat, split, upsample), which recover 30–40% of specification coverage at near-zero RTL cost. This fallback is pre-approved and does not require a further planning cycle.</w:t>
            </w:r>
          </w:p>
        </w:tc>
      </w:tr>
    </w:tbl>
    <w:p>
      <w:r>
        <w:br w:type="page"/>
      </w:r>
    </w:p>
    <w:p>
      <w:pPr>
        <w:pStyle w:val="Heading1"/>
        <w:spacing w:after="120" w:before="240"/>
      </w:pPr>
      <w:r>
        <w:rPr>
          <w:rFonts w:ascii="Calibri" w:cs="Calibri" w:eastAsia="Calibri" w:hAnsi="Calibri"/>
          <w:b/>
          <w:bCs/>
          <w:color w:val="1F3864"/>
          <w:sz w:val="28"/>
          <w:szCs w:val="28"/>
        </w:rPr>
        <w:t xml:space="preserve">8. Detailed Week-by-Week Plan</w:t>
      </w:r>
    </w:p>
    <w:p>
      <w:pPr>
        <w:spacing w:after="60" w:before="60"/>
        <w:jc w:val="left"/>
      </w:pPr>
      <w:r>
        <w:rPr>
          <w:rFonts w:ascii="Calibri" w:cs="Calibri" w:eastAsia="Calibri" w:hAnsi="Calibri"/>
          <w:b w:val="false"/>
          <w:bCs w:val="false"/>
          <w:i w:val="false"/>
          <w:iCs w:val="false"/>
          <w:color w:val="000000"/>
          <w:sz w:val="18"/>
          <w:szCs w:val="18"/>
        </w:rPr>
        <w:t xml:space="preserve">The tables below are the controlling implementation plan. Each week contains design tasks split by owner, deliverables, verification with test identifiers, and an exit gate. If a gate fails, the following week absorbs the overrun and the phase boundary moves; downstream phases are not silently compressed.</w:t>
      </w:r>
    </w:p>
    <w:p>
      <w:pPr>
        <w:pStyle w:val="Heading2"/>
        <w:spacing w:after="120" w:before="240"/>
      </w:pPr>
      <w:r>
        <w:rPr>
          <w:rFonts w:ascii="Calibri" w:cs="Calibri" w:eastAsia="Calibri" w:hAnsi="Calibri"/>
          <w:b/>
          <w:bCs/>
          <w:color w:val="1F3864"/>
          <w:sz w:val="22"/>
          <w:szCs w:val="22"/>
        </w:rPr>
        <w:t xml:space="preserve">8.1 Weeks 1–8 — Single-layer, SiLU and chaining (18 Aug – 12 Oct 2026)</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1250"/>
        <w:gridCol w:w="1750"/>
        <w:gridCol w:w="3050"/>
        <w:gridCol w:w="3050"/>
        <w:gridCol w:w="1700"/>
        <w:gridCol w:w="1500"/>
        <w:gridCol w:w="1400"/>
      </w:tblGrid>
      <w:tr>
        <w:trPr>
          <w:tblHeader/>
        </w:trPr>
        <w:tc>
          <w:tcPr>
            <w:tcW w:type="dxa" w:w="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Wk</w:t>
            </w:r>
          </w:p>
        </w:tc>
        <w:tc>
          <w:tcPr>
            <w:tcW w:type="dxa" w:w="12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Dates</w:t>
            </w:r>
          </w:p>
        </w:tc>
        <w:tc>
          <w:tcPr>
            <w:tcW w:type="dxa" w:w="17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Focus</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A — datapath / verification</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B — control / memory / software</w:t>
            </w:r>
          </w:p>
        </w:tc>
        <w:tc>
          <w:tcPr>
            <w:tcW w:type="dxa" w:w="1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Deliverables</w:t>
            </w:r>
          </w:p>
        </w:tc>
        <w:tc>
          <w:tcPr>
            <w:tcW w:type="dxa" w:w="15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Verification / evidence</w:t>
            </w:r>
          </w:p>
        </w:tc>
        <w:tc>
          <w:tcPr>
            <w:tcW w:type="dxa" w:w="1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Exit gate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18–24 Aug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Single-layer end-to-end attempt (velocity checkpoint)</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Freeze padding contract (zero-beat injection vs. downstream write suppression). Implement conv2d_window_gen: nested oh/ow/kh/kw counters, padding detect, im2col address emission. Implement tile_sequencer: M/N/K counters driving acc_addr and k_tile_first/last. Implement weight-load sequencer: per-row wgt_load[7:0] with hold-while-streaming. Wire edgeasic_top: array→SDDU→accum→requant→activation.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Extend descriptor_t with kernel size, stride and padding fields. Implement descriptor→core start/done/busy handshake. DMA activation and weight tile fetch sequenced under bank_state_controller. Extend edgeasic_model.py to Conv2D 3×3 stride-1 with padding.</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conv2d_window_gen.sv, tile_sequencer.sv, weight_load_seq.sv, edgeasic_top.sv v0, descriptor extension, Conv2D golden model, padding contract note.</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TC-WGEN-001 counter sequence 3×3 s1; TC-WGEN-002 padding at edges and corners; TC-SEQ-001 k_tile_first/last placement across sub-tiles; TC-E2E-001 bit-exact single conv layer vs. edgeasic_model.py.</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VELOCITY CHECKPOINT (24 Aug). One 3×3 stride-1 conv layer, real padding, K spanning multiple sub-tiles, single descriptor, bit-exact against the golden model. Integration debug term measured; the remainder of this plan is confirmed or rebased on the measured value.</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25–31 Aug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Single-layer hardening and shape coverage</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Add 1×1 conv mode reusing the same GEMM path. Add stride-2 support to the window generator. Implement partial-tile lane masking on M and N edges using lane_valid.</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Descriptor validation for illegal shapes and unsupported stride/padding combinations. Verify DMA 4 KB boundary guard interaction with tile fetch. Confirm output SRAM writeback ordering against packing FIFO byte lanes.</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1×1 and stride-2 modes, lane-mask path, shape-validation logic, writeback ordering test.</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TC-CONV1X1-001/002/003 single, multi-channel and multi-tile; TC-STRIDE-001 stride-2; TC-MASK-001 partial tile M/N; TC-E2E-002 multi-K tile.</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1×1, 3×3 stride-1 and stride-2, and partial tiles are all bit-exact against the golden model.</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01–07 Sep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Signed adversarial coverage and regression lock</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Drive signed adversarial vectors through the complete path. Confirm requant saturation behaviour at layer boundaries. Re-verify the ACC_BUFF=33 overflow bound end-to-end rather than per-module.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Randomised descriptor sweep generator. CI job running make all on every pull request, blocking merge on failure.</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End-to-end randomised regression, CI configuration, updated Makefile targets.</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TC-E2E-003 negative tensors; TC-E2E-004 saturation at INT8 boundary; TC-REG-001 multi-seed sweep across five seeds.</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M1 — Single-layer path locked. No known end-to-end defects; CI green on main branch.</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4</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08–14 Sep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LUT-SiLU activation</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256-entry LUT indexed by the post-requant INT8 code. Integrate into the activation unit alongside ACT_NONE and ACT_RELU. Extend the Python model with a quantised SiLU reference.</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LUT table SRAM plus DMA load path executed at layer start. Add LUT base-address field to the descriptor. Sequence table reload between layers with differing quantisation scales.</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lut_silu unit, act_mode_e extension, LUT SRAM and load path, quantised SiLU reference model.</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TC-SILU-001 all 256 input codes vs. Python; TC-SILU-002 per-layer table reload; TC-SILU-003 activation mode switching mid-stream.</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SiLU is bit-exact across the full INT8 domain and the table is reloadable per layer without stalling the pipeline.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5</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15–21 Sep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Layer-boundary contract</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Connect drain output to next-layer activation feed. Implement per-layer requant scale, shift and LUT parameter switching at the boundary.</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Ping-pong bank ownership transfer across the layer boundary. Verify BSC handoff completes without inserting compute stalls.</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Layer-boundary contract note, parameter switching path, bank handoff sequencing.</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TC-CHAIN-001 two-layer handoff; TC-BSC-003 bank ownership across boundary; TC-PARAM-001 mid-stream parameter switch.</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Two convolution layers run back-to-back with no host intervention between them.</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6</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22–28 Sep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Descriptor ring</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Define datapath idle and flush behaviour between descriptors. Confirm no residual state leaks across descriptor boundaries.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descriptor_ring: push, pop, full, empty and wrap-around. Connect ring to descriptor_manager commit path.</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descriptor_ring.sv, ring integration with descriptor manager.</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TC-RING-001 push/pop; TC-RING-002 ring full; TC-RING-003 ring empty; TC-RING-004 wrap-around.</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ring drives at least four chained descriptors without host intervention.</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7</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29 Sep–05 Oct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Five-layer CBS stack</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Chain conv → requant → SiLU across five layers. Verify every intermediate tensor is bit-exact, not only the final output.</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Host driver emits a five-descriptor sequence. Memory image generator produces weights, biases and quantisation parameters per layer.</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Five-layer regression case, host driver v0, memory image generator.</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TC-CHAIN-002 five-layer CBS stack vs. PyTorch INT8 reference, checked at every intermediate tensor.</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five-layer stack matches the reference at every layer boundary.</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8</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06–12 Oct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Chaining hardening and performance counters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Characterise stall and backpressure behaviour across chained layers. Quantify DMA-wait contribution to total cycles.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Performance counters v0: total cycles, compute cycles, DMA-wait cycles, stall cycles. Expose through CSR read path.</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Performance counter block, stall analysis note, CSR counter map.</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TC-PERF-001 counter correctness against simulation cycle count; TC-CHAIN-003 sustained backpressure.</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M2 — Multi-layer chaining closed. Cycle accounting is measurable from CSRs.</w:t>
            </w:r>
          </w:p>
        </w:tc>
      </w:tr>
    </w:tbl>
    <w:p>
      <w:r>
        <w:br w:type="page"/>
      </w:r>
    </w:p>
    <w:p>
      <w:pPr>
        <w:pStyle w:val="Heading2"/>
        <w:spacing w:after="120" w:before="240"/>
      </w:pPr>
      <w:r>
        <w:rPr>
          <w:rFonts w:ascii="Calibri" w:cs="Calibri" w:eastAsia="Calibri" w:hAnsi="Calibri"/>
          <w:b/>
          <w:bCs/>
          <w:color w:val="1F3864"/>
          <w:sz w:val="22"/>
          <w:szCs w:val="22"/>
        </w:rPr>
        <w:t xml:space="preserve">8.2 Weeks 9–18 — Operator set and full-scope control plane (13 Oct – 21 Dec 2026)</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1250"/>
        <w:gridCol w:w="1750"/>
        <w:gridCol w:w="3050"/>
        <w:gridCol w:w="3050"/>
        <w:gridCol w:w="1700"/>
        <w:gridCol w:w="1500"/>
        <w:gridCol w:w="1400"/>
      </w:tblGrid>
      <w:tr>
        <w:trPr>
          <w:tblHeader/>
        </w:trPr>
        <w:tc>
          <w:tcPr>
            <w:tcW w:type="dxa" w:w="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Wk</w:t>
            </w:r>
          </w:p>
        </w:tc>
        <w:tc>
          <w:tcPr>
            <w:tcW w:type="dxa" w:w="12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Dates</w:t>
            </w:r>
          </w:p>
        </w:tc>
        <w:tc>
          <w:tcPr>
            <w:tcW w:type="dxa" w:w="17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Focus</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A — datapath / verification</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B — control / memory / software</w:t>
            </w:r>
          </w:p>
        </w:tc>
        <w:tc>
          <w:tcPr>
            <w:tcW w:type="dxa" w:w="1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Deliverables</w:t>
            </w:r>
          </w:p>
        </w:tc>
        <w:tc>
          <w:tcPr>
            <w:tcW w:type="dxa" w:w="15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Verification / evidence</w:t>
            </w:r>
          </w:p>
        </w:tc>
        <w:tc>
          <w:tcPr>
            <w:tcW w:type="dxa" w:w="1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Exit gate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9</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13–19 Oct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Maxpool and SPPF engine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maxpool_unit compare tree. Implement window sequencer for 2×2 and 5×5 windows. Implement repeated-pool flow for the SPPF primitive.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Descriptors and Tensor Table entries for pooled output tensors. Address generation for pooling windows including edge handling.</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maxpool_unit.sv, pooling window sequencer, SPPF sequencing path.</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TC-POOL-001 2×2 maxpool; TC-POOL-002 5×5 maxpool; TC-SPPF-001 repeated pooling and concat.</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Maxpool and SPPF outputs are bit-exact against the Python reference.</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10</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20–26 Oct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Concat, split and upsample as addressing</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Confirm concat reduces to adjacent o_base writes and split to base-plus-offset reads. Document that no new datapath is required, or escalate the gap if the descriptor cannot express it.</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nearest-neighbour upsample address-repeat generation. Encode all three operations in the descriptor and Tensor Table.</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Addressing proof note, upsample address generator, descriptor encodings.</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TC-CAT-001 channel concat; TC-SPLIT-001 tensor view split; TC-UP-001 2× nearest-neighbour upsample.</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All three operations are proven with zero new datapath, or the descriptor gap is documented and scheduled.</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11</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27 Oct–02 Nov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Tensor Table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Datapath consumption of src0/dst tensor IDs. Confirm metadata propagation of dst_tensor_id through the pipeline.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tensor_table: entry write/read, base, shape and stride decode, allocation tracking.</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tensor_table.sv, tensor ID propagation path.</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TC-TT-001 entry write/read; TC-TT-002 base/shape/stride decode; TC-TT-003 descriptor referencing tensor by ID.</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Descriptors can reference tensors by identifier rather than raw address.</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12</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03–09 Nov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Graph scheduler — linear sequencing</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Define and implement the engine busy/done contract consumed by the scheduler. Ensure clean quiescence between scheduled layers.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graph_scheduler: in-order layer sequencing with dependency tracking against the Tensor Table.</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graph_scheduler.sv v0, busy/done contract note.</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TC-GS-001 in-order layer sequence; TC-GS-002 dependency stall until producer completes.</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scheduler drives a linear multi-layer chain end to end.</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13</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10–16 Nov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Graph scheduler — branching and rejoin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Datapath re-entry behaviour for branch rejoin. Confirm accumulator and bank state remain consistent across a branch.</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Branch and rejoin dependency handling required by the C2f topology. Multi-consumer tensor lifetime tracking.</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Scheduler branch support, tensor lifetime tracking.</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TC-GS-003 branch fan-out; TC-GS-004 rejoin synchronisation; TC-GS-005 multi-consumer lifetime.</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 non-linear graph is expressible and executable without host intervention.</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14</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17–23 Nov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C2f block sequencer</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Bottleneck convolution chain inside the C2f block. Verify residual paths internal to the bottleneck.</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C2f descriptor sequence: split → n bottlenecks → concat → conv. Shape propagation across the block.</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C2f sequencer, C2f descriptor template.</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TC-C2F-001 single C2f block vs. PyTorch; TC-C2F-002 shape propagation; TC-C2F-003 variable bottleneck count.</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One complete C2f block is bit-exact against the reference.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15</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24–30 Nov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Elementwise and residual path</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elementwise_unit: residual add with INT8 rescaling of two operands at differing quantisation scales.</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Residual SRAM, second-operand DMA fetch, input1_base descriptor field wiring.</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elementwise_unit.sv, residual_sram.sv, second-operand fetch path.</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TC-EW-001 residual add; TC-EW-002 mismatched input scales; TC-EW-003 saturation on add.</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Residual connections are bit-exact including the rescaling path.</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16</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01–07 Dec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Detect head convolution and raw export</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Detect-head convolution path. Define and implement the raw detection tensor export layout.</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Three-scale output descriptor sequence. Bias and quantisation parameter SRAM indexed per output channel.</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Detect head path, bias_quant_sram.sv, raw export layout specification.</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TC-HEAD-001 single scale; TC-HEAD-002 all three scales; TC-HEAD-003 raw export byte layout vs. host expectation.</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detection head emits host-readable raw tensors at all three scales.</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17</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08–14 Dec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DMA arbiter</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Characterise compute-side stall under arbitration pressure. Identify whether prefetch starvation is compute-visible.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dma_arbiter: prefetch versus writeback priority with starvation avoidance.</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dma_arbiter.sv, arbitration policy note.</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TC-ARB-001 priority ordering; TC-ARB-002 starvation avoidance; TC-ARB-003 concurrent prefetch and writeback.</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No starvation occurs under sustained concurrent load.</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18</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15–21 Dec 26</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Interrupt logic, sticky errors and full counters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Route all datapath error sources into the sticky error logic. Verify error reporting does not corrupt in-flight state.</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Implement interrupt_logic for done, error and performance events. Complete the counter set including MAC-active and writeback cycles.</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interrupt_logic.sv, complete performance counter set, error source map.</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TC-IRQ-001 done interrupt; TC-IRQ-002 error interrupt; TC-IRQ-003 W1C clear; TC-PERF-002 full counter set.</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M3 — Full-scope RTL feature-complete. Every module in the architecture specification is implemented and unit-verified.</w:t>
            </w:r>
          </w:p>
        </w:tc>
      </w:tr>
    </w:tbl>
    <w:p>
      <w:r>
        <w:br w:type="page"/>
      </w:r>
    </w:p>
    <w:p>
      <w:pPr>
        <w:pStyle w:val="Heading2"/>
        <w:spacing w:after="120" w:before="240"/>
      </w:pPr>
      <w:r>
        <w:rPr>
          <w:rFonts w:ascii="Calibri" w:cs="Calibri" w:eastAsia="Calibri" w:hAnsi="Calibri"/>
          <w:b/>
          <w:bCs/>
          <w:color w:val="1F3864"/>
          <w:sz w:val="22"/>
          <w:szCs w:val="22"/>
        </w:rPr>
        <w:t xml:space="preserve">8.3 Weeks 19–28 — Bring-up, accuracy and characterisation (22 Dec 2026 – 1 Mar 2027)</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1250"/>
        <w:gridCol w:w="1750"/>
        <w:gridCol w:w="3050"/>
        <w:gridCol w:w="3050"/>
        <w:gridCol w:w="1700"/>
        <w:gridCol w:w="1500"/>
        <w:gridCol w:w="1400"/>
      </w:tblGrid>
      <w:tr>
        <w:trPr>
          <w:tblHeader/>
        </w:trPr>
        <w:tc>
          <w:tcPr>
            <w:tcW w:type="dxa" w:w="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Wk</w:t>
            </w:r>
          </w:p>
        </w:tc>
        <w:tc>
          <w:tcPr>
            <w:tcW w:type="dxa" w:w="12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Dates</w:t>
            </w:r>
          </w:p>
        </w:tc>
        <w:tc>
          <w:tcPr>
            <w:tcW w:type="dxa" w:w="17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Focus</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A — datapath / verification</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B — control / memory / software</w:t>
            </w:r>
          </w:p>
        </w:tc>
        <w:tc>
          <w:tcPr>
            <w:tcW w:type="dxa" w:w="1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Deliverables</w:t>
            </w:r>
          </w:p>
        </w:tc>
        <w:tc>
          <w:tcPr>
            <w:tcW w:type="dxa" w:w="15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Verification / evidence</w:t>
            </w:r>
          </w:p>
        </w:tc>
        <w:tc>
          <w:tcPr>
            <w:tcW w:type="dxa" w:w="1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Exit gate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19</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22–28 Dec 26</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Reduced week — regression consolidation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Full-scope regression sweep across the datapath. Defect triage and severity classification.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Full-scope regression sweep across control and memory planes. Documentation catch-up on modules completed in P5.</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Consolidated regression report, triaged defect list.</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TC-REG-002 full-scope multi-seed sweep.</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Defect list triaged; no severity-1 defects open. Reduced-capacity week — no new feature work scheduled.</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20</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29 Dec–04 Jan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Reduced week — full-network model</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Extend the golden model to the complete YOLOv8n graph including all branch topology.</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Host driver architecture for full-network descriptor emission.</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Full-network Python model, host driver architecture note.</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TC-SW-001 Python full-network forward vs. PyTorch INT8.</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Python model reproduces the complete YOLOv8n INT8 forward pass. Reduced-capacity week.</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21</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05–11 Jan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Backbone bring-up</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Layer-by-layer bit-exactness debug through the backbone. Attribute any divergence to a specific stage.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Descriptor emission for the complete backbone including all C2f blocks.</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Backbone regression case, backbone descriptor sequence.</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TC-NET-001 backbone per-layer tensor match.</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backbone is bit-exact against the golden model at every layer.</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22</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12–18 Jan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Neck bring-up</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Upsample and concat rejoin debug within the neck. Verify tensor lifetime across long-range skip connections.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Neck descriptor sequence including cross-scale concatenation.</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Neck regression case, neck descriptor sequence.</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TC-NET-002 neck per-layer tensor match.</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neck is bit-exact against the golden model.</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23</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19–25 Jan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Head bring-up and full forward pass</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Three-scale detection head bring-up. Full-network drain and final tensor export.</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End-to-end descriptor sequence for the complete network. Host decode and NMS integration against exported tensors.</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Full-network regression, complete host driver, decode/NMS integration.</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TC-NET-003 full forward vs. Python model; TC-NET-004 vs. PyTorch FP32 within stated tolerance.</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 complete YOLOv8n forward pass executes on the IP with host decode and NMS.</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24</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26 Jan–01 Feb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Accuracy characterisation</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Per-layer quantisation error attribution. Identify which layers dominate accuracy loss.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COCO subset harness. mAP measurement for CPU-only and CPU+IP paths under identical preprocessing.</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mAP results, per-layer error attribution table.</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TC-MAP-001 mAP on a subset of at least 100 images; TC-MAP-002 CPU-only vs. CPU+IP equivalence.</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M4 — mAP measured and documented against the FP32 reference.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25</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02–08 Feb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Synthesis setup</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RTL lint clean. Remove simulation-only constructs. Resolve the requant.sv constant-select elaboration warning and confirm synthesis infers the intended logic.</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Synthesis flow (Yosys open PDK and/or Vivado), constraints file, clock definition, false-path declarations.</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Lint-clean RTL, synthesis scripts, constraints file.</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TC-SYN-001 lint clean with zero warnings; TC-SYN-002 synthesis completes without inference errors.</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full design synthesises without errors or unintended inference.</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26</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09–15 Feb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Timing and gate count</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Critical path analysis. Pipeline insertion where f_max falls short of the 200 MHz target.</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Gate count by module. Maximum frequency report. Post-synthesis regression to confirm no functional change.</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Timing report, gate count breakdown, post-synthesis regression log.</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TC-SYN-003 timing report; TC-SYN-004 gate count by module; TC-SYN-005 post-synthesis equivalence.</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f_max and gate count are reported with tool evidence; the 200 MHz figure is either measured or explicitly labelled as a target.</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27</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16–22 Feb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Area and power</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Per-module area attribution. Identify the dominant area consumers within the compute core.</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Power estimation from switching activity. SRAM area accounting separate from logic area.</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Area breakdown (mm²), power estimate (mW), SRAM accounting.</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TC-AREA-001 area breakdown by module; TC-PWR-001 power estimate with stated methodology.</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Area and power figures exist with a documented estimation methodology.</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28</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23 Feb–01 Mar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Utilization and scaling study</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Per-layer MAC utilization measurement from performance counters. Identify underutilised layers and explain the cause.</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320×320 configuration run. Analytical projection for N=16 and larger array widths.</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Utilization plot, resolution scaling study, array scaling projection.</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TC-UTIL-001 per-layer utilization; TC-SCALE-001 320×320 comparison; TC-SCALE-002 N=16 analytical projection.</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M5 — Characterisation complete. Every physical and efficiency claim is backed by measurement.</w:t>
            </w:r>
          </w:p>
        </w:tc>
      </w:tr>
    </w:tbl>
    <w:p>
      <w:r>
        <w:br w:type="page"/>
      </w:r>
    </w:p>
    <w:p>
      <w:pPr>
        <w:pStyle w:val="Heading2"/>
        <w:spacing w:after="120" w:before="240"/>
      </w:pPr>
      <w:r>
        <w:rPr>
          <w:rFonts w:ascii="Calibri" w:cs="Calibri" w:eastAsia="Calibri" w:hAnsi="Calibri"/>
          <w:b/>
          <w:bCs/>
          <w:color w:val="1F3864"/>
          <w:sz w:val="22"/>
          <w:szCs w:val="22"/>
        </w:rPr>
        <w:t xml:space="preserve">8.4 Weeks 29–36 — Demo, evaluation, thesis and defence (2 Mar – 26 Apr 2027)</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1250"/>
        <w:gridCol w:w="1750"/>
        <w:gridCol w:w="3050"/>
        <w:gridCol w:w="3050"/>
        <w:gridCol w:w="1700"/>
        <w:gridCol w:w="1500"/>
        <w:gridCol w:w="1400"/>
      </w:tblGrid>
      <w:tr>
        <w:trPr>
          <w:tblHeader/>
        </w:trPr>
        <w:tc>
          <w:tcPr>
            <w:tcW w:type="dxa" w:w="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Wk</w:t>
            </w:r>
          </w:p>
        </w:tc>
        <w:tc>
          <w:tcPr>
            <w:tcW w:type="dxa" w:w="12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Dates</w:t>
            </w:r>
          </w:p>
        </w:tc>
        <w:tc>
          <w:tcPr>
            <w:tcW w:type="dxa" w:w="17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Focus</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A — datapath / verification</w:t>
            </w:r>
          </w:p>
        </w:tc>
        <w:tc>
          <w:tcPr>
            <w:tcW w:type="dxa" w:w="305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Person B — control / memory / software</w:t>
            </w:r>
          </w:p>
        </w:tc>
        <w:tc>
          <w:tcPr>
            <w:tcW w:type="dxa" w:w="1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Deliverables</w:t>
            </w:r>
          </w:p>
        </w:tc>
        <w:tc>
          <w:tcPr>
            <w:tcW w:type="dxa" w:w="15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Verification / evidence</w:t>
            </w:r>
          </w:p>
        </w:tc>
        <w:tc>
          <w:tcPr>
            <w:tcW w:type="dxa" w:w="1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4"/>
                <w:szCs w:val="14"/>
              </w:rPr>
              <w:t xml:space="preserve">Exit gate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29</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02–08 Mar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Demo path construction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IP-path timing instrumentation using CSR counters.</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CPU-only baseline path. CPU+IP demo path. Both instrumented and producing comparable detection output.</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Demo application, both execution paths, timing instrumentation.</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TC-DEMO-001 both paths produce equivalent detections on the same input.</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 demo runs end to end on both paths with equivalent output.</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30</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09–15 Mar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Performance comparison</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Kernel-level timing separation: compute cycles isolated from transfer and host time.</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System-level timing: preprocess, quantise, transfer-in, IP compute, transfer-out, decode, NMS. Fair CPU INT8 kernel baseline.</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Kernel and system-level comparison tables, named baseline description.</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TC-PERF-003 kernel comparison; TC-PERF-004 full-system comparison.</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Comparison tables are complete with the baseline explicitly named and the transfer overhead stated.</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31</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16–22 Mar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Thesis writing block 1</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introduction, background, architecture. Diagrams regenerated from the final implementation.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introduction, background, architecture — control plane and memory system sections.</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Draft chapters 1–3.</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Internal review against the implemented module list.</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1–3 draft complete and consistent with the as-built design.</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32</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23–29 Mar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Thesis writing block 2</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implementation (datapath), verification methodology, golden model.</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implementation (control/memory), host software, demo architecture.</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Draft chapters 4–5.</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Cross-check every described module against the repository.</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4–5 draft complete.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33</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30 Mar–05 Apr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Thesis writing block 3</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results, characterisation, discussion, conclusion.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Chapters: performance evaluation, comparison, limitations.</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Full thesis draft.</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Every result traced to a log, waveform or tool report.</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Complete thesis draft.</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34</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06–12 Apr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Claim audit and evidence mapping</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Map every datapath and verification claim to a TC-ID, log or waveform.</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Map every control, memory and performance claim to evidence. Execute the no-go claim audit.</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Claim/evidence map, no-go audit record.</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DOC-001 claim/evidence mapping; DOC-002 no-go claim audit.</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No unsupported claim remains anywhere in the thesis, slides or repository.</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35</w:t>
            </w:r>
          </w:p>
        </w:tc>
        <w:tc>
          <w:tcPr>
            <w:tcW w:type="dxa" w:w="12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13–19 Apr 27</w:t>
            </w:r>
          </w:p>
        </w:tc>
        <w:tc>
          <w:tcPr>
            <w:tcW w:type="dxa" w:w="17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Supervisor review and revision</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Incorporate feedback on datapath and verification chapters. Final diagrams.</w:t>
            </w:r>
          </w:p>
        </w:tc>
        <w:tc>
          <w:tcPr>
            <w:tcW w:type="dxa" w:w="305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Incorporate feedback on control, memory and evaluation chapters. Slide deck.</w:t>
            </w:r>
          </w:p>
        </w:tc>
        <w:tc>
          <w:tcPr>
            <w:tcW w:type="dxa" w:w="1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Revised thesis, slide deck, final diagram set.</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Supervisor review checklist closed.</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Supervisor sign-off obtained.</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36</w:t>
            </w:r>
          </w:p>
        </w:tc>
        <w:tc>
          <w:tcPr>
            <w:tcW w:type="dxa" w:w="12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20–26 Apr 27</w:t>
            </w:r>
          </w:p>
        </w:tc>
        <w:tc>
          <w:tcPr>
            <w:tcW w:type="dxa" w:w="17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Defence rehearsal and submission</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Rehearsal, Q&amp;A preparation on datapath and verification questions.</w:t>
            </w:r>
          </w:p>
        </w:tc>
        <w:tc>
          <w:tcPr>
            <w:tcW w:type="dxa" w:w="305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Rehearsal, Q&amp;A preparation on control, memory and performance questions. Repository freeze.</w:t>
            </w:r>
          </w:p>
        </w:tc>
        <w:tc>
          <w:tcPr>
            <w:tcW w:type="dxa" w:w="1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Final submission package, recorded demo, frozen repository.</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DEMO-002 recorded demo; DEF-001 Q&amp;A checklist; REL-001 repository freeze.</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4"/>
                <w:szCs w:val="14"/>
              </w:rPr>
              <w:t xml:space="preserve">M6 — Submitted. Deadline 30 April 2027.</w:t>
            </w:r>
          </w:p>
        </w:tc>
      </w:tr>
    </w:tbl>
    <w:p>
      <w:r>
        <w:br w:type="page"/>
      </w:r>
    </w:p>
    <w:p>
      <w:pPr>
        <w:pStyle w:val="Heading1"/>
        <w:spacing w:after="120" w:before="240"/>
      </w:pPr>
      <w:r>
        <w:rPr>
          <w:rFonts w:ascii="Calibri" w:cs="Calibri" w:eastAsia="Calibri" w:hAnsi="Calibri"/>
          <w:b/>
          <w:bCs/>
          <w:color w:val="1F3864"/>
          <w:sz w:val="28"/>
          <w:szCs w:val="28"/>
        </w:rPr>
        <w:t xml:space="preserve">9. Verification and Evidence Strategy</w:t>
      </w:r>
    </w:p>
    <w:p>
      <w:pPr>
        <w:spacing w:after="60" w:before="60"/>
        <w:jc w:val="left"/>
      </w:pPr>
      <w:r>
        <w:rPr>
          <w:rFonts w:ascii="Calibri" w:cs="Calibri" w:eastAsia="Calibri" w:hAnsi="Calibri"/>
          <w:b w:val="false"/>
          <w:bCs w:val="false"/>
          <w:i w:val="false"/>
          <w:iCs w:val="false"/>
          <w:color w:val="000000"/>
          <w:sz w:val="18"/>
          <w:szCs w:val="18"/>
        </w:rPr>
        <w:t xml:space="preserve">Verification is not a terminal phase; it is attached to every implementation week. The methodology established in Phase 0 is carried forward unchanged: a Python golden reference model generates $readmemh-compatible stimulus and expected vectors, and a SystemVerilog regression harness consumes them. This methodology is the strongest single element of the project and is protected accordingly.</w:t>
      </w:r>
    </w:p>
    <w:p>
      <w:pPr>
        <w:pStyle w:val="Heading2"/>
        <w:spacing w:after="120" w:before="240"/>
      </w:pPr>
      <w:r>
        <w:rPr>
          <w:rFonts w:ascii="Calibri" w:cs="Calibri" w:eastAsia="Calibri" w:hAnsi="Calibri"/>
          <w:b/>
          <w:bCs/>
          <w:color w:val="1F3864"/>
          <w:sz w:val="22"/>
          <w:szCs w:val="22"/>
        </w:rPr>
        <w:t xml:space="preserve">9.1 Test Ownership Rules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The designer of a block writes the first directed tests for that block.</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Person B owns shared regression infrastructure, the CI runner and scoreboard integration — not every individual test case.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Every feature must have a TC-ID before its RTL is merged to the main branch.</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 feature without a passing TC-ID cannot be claimed as implemented in the final report, irrespective of how complete the RTL appears.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Timing-sensitive features require waveform evidence: PE act_out registration, SDDU deskew and metadata alignment, accumulator RAW bypass, bank ownership transfer, DMA routing, graph scheduler dependency stalls and layer-boundary handoff.</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Bit-exactness against the golden model is the acceptance criterion for every datapath feature. Visual inspection of waveforms is diagnostic evidence, never acceptance evidence.</w:t>
      </w:r>
    </w:p>
    <w:p>
      <w:pPr>
        <w:pStyle w:val="Heading2"/>
        <w:spacing w:after="120" w:before="240"/>
      </w:pPr>
      <w:r>
        <w:rPr>
          <w:rFonts w:ascii="Calibri" w:cs="Calibri" w:eastAsia="Calibri" w:hAnsi="Calibri"/>
          <w:b/>
          <w:bCs/>
          <w:color w:val="1F3864"/>
          <w:sz w:val="22"/>
          <w:szCs w:val="22"/>
        </w:rPr>
        <w:t xml:space="preserve">9.2 Verification Coverage by Phase</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600"/>
        <w:gridCol w:w="8200"/>
        <w:gridCol w:w="2600"/>
      </w:tblGrid>
      <w:tr>
        <w:trPr>
          <w:tblHeader/>
        </w:trPr>
        <w:tc>
          <w:tcPr>
            <w:tcW w:type="dxa" w:w="3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Coverage group</w:t>
            </w:r>
          </w:p>
        </w:tc>
        <w:tc>
          <w:tcPr>
            <w:tcW w:type="dxa" w:w="8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Required coverage</w:t>
            </w:r>
          </w:p>
        </w:tc>
        <w:tc>
          <w:tcPr>
            <w:tcW w:type="dxa" w:w="2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Weeks</w:t>
            </w:r>
          </w:p>
        </w:tc>
      </w:tr>
      <w:tr>
        <w:trPr>
          <w:tblHeader w:val="false"/>
        </w:trPr>
        <w:tc>
          <w:tcPr>
            <w:tcW w:type="dxa" w:w="3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Baseline compute</w:t>
            </w:r>
          </w:p>
        </w:tc>
        <w:tc>
          <w:tcPr>
            <w:tcW w:type="dxa" w:w="8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PE signed arithmetic, registered act_out, 8×8 array timing, SDDU delay and metadata alignment</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Complete</w:t>
            </w:r>
          </w:p>
        </w:tc>
      </w:tr>
      <w:tr>
        <w:trPr>
          <w:tblHeader w:val="false"/>
        </w:trPr>
        <w:tc>
          <w:tcPr>
            <w:tcW w:type="dxa" w:w="3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Accumulation and quantisation</w:t>
            </w:r>
          </w:p>
        </w:tc>
        <w:tc>
          <w:tcPr>
            <w:tcW w:type="dxa" w:w="8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k_tile_first/last cases, RAW hazard bypass, final sub-tile drain, signed shift, HALF_UP rounding, saturation</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Complete</w:t>
            </w:r>
          </w:p>
        </w:tc>
      </w:tr>
      <w:tr>
        <w:trPr>
          <w:tblHeader w:val="false"/>
        </w:trPr>
        <w:tc>
          <w:tcPr>
            <w:tcW w:type="dxa" w:w="3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Window generation</w:t>
            </w:r>
          </w:p>
        </w:tc>
        <w:tc>
          <w:tcPr>
            <w:tcW w:type="dxa" w:w="8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Counter sequencing, padding at edges and corners, stride 1 and 2, partial tiles</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1–2</w:t>
            </w:r>
          </w:p>
        </w:tc>
      </w:tr>
      <w:tr>
        <w:trPr>
          <w:tblHeader w:val="false"/>
        </w:trPr>
        <w:tc>
          <w:tcPr>
            <w:tcW w:type="dxa" w:w="3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End-to-end single layer</w:t>
            </w:r>
          </w:p>
        </w:tc>
        <w:tc>
          <w:tcPr>
            <w:tcW w:type="dxa" w:w="8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Bit-exactness, multi-K, negative tensors, saturation, randomised sweep</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1–3</w:t>
            </w:r>
          </w:p>
        </w:tc>
      </w:tr>
      <w:tr>
        <w:trPr>
          <w:tblHeader w:val="false"/>
        </w:trPr>
        <w:tc>
          <w:tcPr>
            <w:tcW w:type="dxa" w:w="3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Activation</w:t>
            </w:r>
          </w:p>
        </w:tc>
        <w:tc>
          <w:tcPr>
            <w:tcW w:type="dxa" w:w="8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LUT-SiLU across all 256 codes, per-layer reload, mode switching</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4</w:t>
            </w:r>
          </w:p>
        </w:tc>
      </w:tr>
      <w:tr>
        <w:trPr>
          <w:tblHeader w:val="false"/>
        </w:trPr>
        <w:tc>
          <w:tcPr>
            <w:tcW w:type="dxa" w:w="3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Layer chaining</w:t>
            </w:r>
          </w:p>
        </w:tc>
        <w:tc>
          <w:tcPr>
            <w:tcW w:type="dxa" w:w="8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Two-layer handoff, five-layer CBS stack, bank ownership, backpressure</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5–8</w:t>
            </w:r>
          </w:p>
        </w:tc>
      </w:tr>
      <w:tr>
        <w:trPr>
          <w:tblHeader w:val="false"/>
        </w:trPr>
        <w:tc>
          <w:tcPr>
            <w:tcW w:type="dxa" w:w="3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Pooling</w:t>
            </w:r>
          </w:p>
        </w:tc>
        <w:tc>
          <w:tcPr>
            <w:tcW w:type="dxa" w:w="8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2×2 and 5×5 maxpool, repeated SPPF pooling</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9</w:t>
            </w:r>
          </w:p>
        </w:tc>
      </w:tr>
      <w:tr>
        <w:trPr>
          <w:tblHeader w:val="false"/>
        </w:trPr>
        <w:tc>
          <w:tcPr>
            <w:tcW w:type="dxa" w:w="3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Addressing operators</w:t>
            </w:r>
          </w:p>
        </w:tc>
        <w:tc>
          <w:tcPr>
            <w:tcW w:type="dxa" w:w="8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Concat, split, nearest-neighbour upsample</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10</w:t>
            </w:r>
          </w:p>
        </w:tc>
      </w:tr>
      <w:tr>
        <w:trPr>
          <w:tblHeader w:val="false"/>
        </w:trPr>
        <w:tc>
          <w:tcPr>
            <w:tcW w:type="dxa" w:w="3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Control plane</w:t>
            </w:r>
          </w:p>
        </w:tc>
        <w:tc>
          <w:tcPr>
            <w:tcW w:type="dxa" w:w="8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Tensor Table, descriptor ring, graph scheduler branch and rejoin, C2f sequencing</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11–14</w:t>
            </w:r>
          </w:p>
        </w:tc>
      </w:tr>
      <w:tr>
        <w:trPr>
          <w:tblHeader w:val="false"/>
        </w:trPr>
        <w:tc>
          <w:tcPr>
            <w:tcW w:type="dxa" w:w="3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Extended datapath</w:t>
            </w:r>
          </w:p>
        </w:tc>
        <w:tc>
          <w:tcPr>
            <w:tcW w:type="dxa" w:w="8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Elementwise residual with dual-scale rescaling, detect head, raw export</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15–16</w:t>
            </w:r>
          </w:p>
        </w:tc>
      </w:tr>
      <w:tr>
        <w:trPr>
          <w:tblHeader w:val="false"/>
        </w:trPr>
        <w:tc>
          <w:tcPr>
            <w:tcW w:type="dxa" w:w="3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System services</w:t>
            </w:r>
          </w:p>
        </w:tc>
        <w:tc>
          <w:tcPr>
            <w:tcW w:type="dxa" w:w="8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DMA arbitration, starvation, interrupts, performance counters</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17–18</w:t>
            </w:r>
          </w:p>
        </w:tc>
      </w:tr>
      <w:tr>
        <w:trPr>
          <w:tblHeader w:val="false"/>
        </w:trPr>
        <w:tc>
          <w:tcPr>
            <w:tcW w:type="dxa" w:w="3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Network level</w:t>
            </w:r>
          </w:p>
        </w:tc>
        <w:tc>
          <w:tcPr>
            <w:tcW w:type="dxa" w:w="8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Backbone, neck, head per-layer match; full forward pass; mAP</w:t>
            </w:r>
          </w:p>
        </w:tc>
        <w:tc>
          <w:tcPr>
            <w:tcW w:type="dxa" w:w="2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21–24</w:t>
            </w:r>
          </w:p>
        </w:tc>
      </w:tr>
      <w:tr>
        <w:trPr>
          <w:tblHeader w:val="false"/>
        </w:trPr>
        <w:tc>
          <w:tcPr>
            <w:tcW w:type="dxa" w:w="3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Physical</w:t>
            </w:r>
          </w:p>
        </w:tc>
        <w:tc>
          <w:tcPr>
            <w:tcW w:type="dxa" w:w="8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Lint, synthesis, post-synthesis equivalence, timing, area, power, utilization</w:t>
            </w:r>
          </w:p>
        </w:tc>
        <w:tc>
          <w:tcPr>
            <w:tcW w:type="dxa" w:w="2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25–28</w:t>
            </w:r>
          </w:p>
        </w:tc>
      </w:tr>
    </w:tbl>
    <w:p>
      <w:pPr>
        <w:pStyle w:val="Heading1"/>
        <w:spacing w:after="120" w:before="240"/>
      </w:pPr>
      <w:r>
        <w:rPr>
          <w:rFonts w:ascii="Calibri" w:cs="Calibri" w:eastAsia="Calibri" w:hAnsi="Calibri"/>
          <w:b/>
          <w:bCs/>
          <w:color w:val="1F3864"/>
          <w:sz w:val="28"/>
          <w:szCs w:val="28"/>
        </w:rPr>
        <w:t xml:space="preserve">10. Characterisation and Performance Evaluation Plan</w:t>
      </w:r>
    </w:p>
    <w:p>
      <w:pPr>
        <w:spacing w:after="60" w:before="60"/>
        <w:jc w:val="left"/>
      </w:pPr>
      <w:r>
        <w:rPr>
          <w:rFonts w:ascii="Calibri" w:cs="Calibri" w:eastAsia="Calibri" w:hAnsi="Calibri"/>
          <w:b w:val="false"/>
          <w:bCs w:val="false"/>
          <w:i w:val="false"/>
          <w:iCs w:val="false"/>
          <w:color w:val="000000"/>
          <w:sz w:val="18"/>
          <w:szCs w:val="18"/>
        </w:rPr>
        <w:t xml:space="preserve">This phase did not exist in v4.8 and is the principal defensive addition of this revision. An ASIC project defended without physical numbers invites the question it cannot answer.</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800"/>
        <w:gridCol w:w="6400"/>
        <w:gridCol w:w="4200"/>
      </w:tblGrid>
      <w:tr>
        <w:trPr>
          <w:tblHeader/>
        </w:trPr>
        <w:tc>
          <w:tcPr>
            <w:tcW w:type="dxa" w:w="38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Metric</w:t>
            </w:r>
          </w:p>
        </w:tc>
        <w:tc>
          <w:tcPr>
            <w:tcW w:type="dxa" w:w="6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How measured</w:t>
            </w:r>
          </w:p>
        </w:tc>
        <w:tc>
          <w:tcPr>
            <w:tcW w:type="dxa" w:w="4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Supports which claim</w:t>
            </w:r>
          </w:p>
        </w:tc>
      </w:tr>
      <w:tr>
        <w:trPr>
          <w:tblHeader w:val="false"/>
        </w:trPr>
        <w:tc>
          <w:tcPr>
            <w:tcW w:type="dxa" w:w="3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Gate count by module</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Synthesis report (Yosys open PDK and/or Vivado)</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Design complexity and area attribution</w:t>
            </w:r>
          </w:p>
        </w:tc>
      </w:tr>
      <w:tr>
        <w:trPr>
          <w:tblHeader w:val="false"/>
        </w:trPr>
        <w:tc>
          <w:tcPr>
            <w:tcW w:type="dxa" w:w="3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Critical path and f_max</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Static timing analysis on the synthesised netlist</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Whether the 200 MHz target is achievable or aspirational</w:t>
            </w:r>
          </w:p>
        </w:tc>
      </w:tr>
      <w:tr>
        <w:trPr>
          <w:tblHeader w:val="false"/>
        </w:trPr>
        <w:tc>
          <w:tcPr>
            <w:tcW w:type="dxa" w:w="3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Area (mm²)</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Post-synthesis area report with SRAM accounted separately</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Edge-device feasibility</w:t>
            </w:r>
          </w:p>
        </w:tc>
      </w:tr>
      <w:tr>
        <w:trPr>
          <w:tblHeader w:val="false"/>
        </w:trPr>
        <w:tc>
          <w:tcPr>
            <w:tcW w:type="dxa" w:w="3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Power (mW)</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Switching-activity-based estimation with stated methodology</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Power-budget feasibility</w:t>
            </w:r>
          </w:p>
        </w:tc>
      </w:tr>
      <w:tr>
        <w:trPr>
          <w:tblHeader w:val="false"/>
        </w:trPr>
        <w:tc>
          <w:tcPr>
            <w:tcW w:type="dxa" w:w="3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Kernel compute cycles</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CSR performance counters around IP compute</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Compute acceleration claim</w:t>
            </w:r>
          </w:p>
        </w:tc>
      </w:tr>
      <w:tr>
        <w:trPr>
          <w:tblHeader w:val="false"/>
        </w:trPr>
        <w:tc>
          <w:tcPr>
            <w:tcW w:type="dxa" w:w="3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Array utilization</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MAC-active cycles ÷ compute cycles, measured per layer</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Datapath efficiency and the scaling argument</w:t>
            </w:r>
          </w:p>
        </w:tc>
      </w:tr>
      <w:tr>
        <w:trPr>
          <w:tblHeader w:val="false"/>
        </w:trPr>
        <w:tc>
          <w:tcPr>
            <w:tcW w:type="dxa" w:w="3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DMA wait and stall cycles</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CSR counters</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Bottleneck attribution</w:t>
            </w:r>
          </w:p>
        </w:tc>
      </w:tr>
      <w:tr>
        <w:trPr>
          <w:tblHeader w:val="false"/>
        </w:trPr>
        <w:tc>
          <w:tcPr>
            <w:tcW w:type="dxa" w:w="3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mAP</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COCO subset, CPU+IP path versus FP32 reference</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Functional correctness of the INT8 pipeline</w:t>
            </w:r>
          </w:p>
        </w:tc>
      </w:tr>
      <w:tr>
        <w:trPr>
          <w:tblHeader w:val="false"/>
        </w:trPr>
        <w:tc>
          <w:tcPr>
            <w:tcW w:type="dxa" w:w="3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Resolution scaling</w:t>
            </w:r>
          </w:p>
        </w:tc>
        <w:tc>
          <w:tcPr>
            <w:tcW w:type="dxa" w:w="6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320×320 configuration run</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Practical throughput lever</w:t>
            </w:r>
          </w:p>
        </w:tc>
      </w:tr>
      <w:tr>
        <w:trPr>
          <w:tblHeader w:val="false"/>
        </w:trPr>
        <w:tc>
          <w:tcPr>
            <w:tcW w:type="dxa" w:w="3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Array width projection</w:t>
            </w:r>
          </w:p>
        </w:tc>
        <w:tc>
          <w:tcPr>
            <w:tcW w:type="dxa" w:w="6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Analytical projection for N=16 and beyond</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Future-work scaling recommendation</w:t>
            </w:r>
          </w:p>
        </w:tc>
      </w:tr>
    </w:tbl>
    <w:p>
      <w:pPr>
        <w:pStyle w:val="Heading2"/>
        <w:spacing w:after="120" w:before="240"/>
      </w:pPr>
      <w:r>
        <w:rPr>
          <w:rFonts w:ascii="Calibri" w:cs="Calibri" w:eastAsia="Calibri" w:hAnsi="Calibri"/>
          <w:b/>
          <w:bCs/>
          <w:color w:val="1F3864"/>
          <w:sz w:val="22"/>
          <w:szCs w:val="22"/>
        </w:rPr>
        <w:t xml:space="preserve">10.1 Reporting Discipline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Report the analytical peak as 64 MAC/cycle. If 200 MHz is not measured, label it explicitly as a target.</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Report kernel-level and system-level metrics separately and never merge them into a single speedup figure.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System-level reporting itemises preprocessing, quantisation, transfer-in, IP compute, transfer-out, host decode, NMS and total wall time.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Include at least one controlled CPU INT8 kernel for a same-operation comparison. Do not compare against an optimised laptop framework without naming the baseline.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If CPU+IP full-system time is slower because of transfer overhead, state plainly that the prototype demonstrates functional offload and kernel acceleration, and that production speedup requires host-side integration this prototype does not have.</w:t>
      </w:r>
    </w:p>
    <w:p>
      <w:r>
        <w:br w:type="page"/>
      </w:r>
    </w:p>
    <w:p>
      <w:pPr>
        <w:pStyle w:val="Heading1"/>
        <w:spacing w:after="120" w:before="240"/>
      </w:pPr>
      <w:r>
        <w:rPr>
          <w:rFonts w:ascii="Calibri" w:cs="Calibri" w:eastAsia="Calibri" w:hAnsi="Calibri"/>
          <w:b/>
          <w:bCs/>
          <w:color w:val="1F3864"/>
          <w:sz w:val="28"/>
          <w:szCs w:val="28"/>
        </w:rPr>
        <w:t xml:space="preserve">11. Host-Assisted Demo Strategy</w:t>
      </w:r>
    </w:p>
    <w:p>
      <w:pPr>
        <w:spacing w:after="60" w:before="60"/>
        <w:jc w:val="left"/>
      </w:pPr>
      <w:r>
        <w:rPr>
          <w:rFonts w:ascii="Calibri" w:cs="Calibri" w:eastAsia="Calibri" w:hAnsi="Calibri"/>
          <w:b w:val="false"/>
          <w:bCs w:val="false"/>
          <w:i w:val="false"/>
          <w:iCs w:val="false"/>
          <w:color w:val="000000"/>
          <w:sz w:val="18"/>
          <w:szCs w:val="18"/>
        </w:rPr>
        <w:t xml:space="preserve">The demo must prove correctness and acceleration value without overclaiming autonomous YOLOv8n hardware execution. The CPU-only path is the reference; the CPU+IP path is the demonstration.</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200"/>
        <w:gridCol w:w="4200"/>
        <w:gridCol w:w="4200"/>
        <w:gridCol w:w="2800"/>
      </w:tblGrid>
      <w:tr>
        <w:trPr>
          <w:tblHeader/>
        </w:trPr>
        <w:tc>
          <w:tcPr>
            <w:tcW w:type="dxa" w:w="3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Component</w:t>
            </w:r>
          </w:p>
        </w:tc>
        <w:tc>
          <w:tcPr>
            <w:tcW w:type="dxa" w:w="4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CPU-only path</w:t>
            </w:r>
          </w:p>
        </w:tc>
        <w:tc>
          <w:tcPr>
            <w:tcW w:type="dxa" w:w="4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CPU + IP path</w:t>
            </w:r>
          </w:p>
        </w:tc>
        <w:tc>
          <w:tcPr>
            <w:tcW w:type="dxa" w:w="28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Metric</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Preprocessing</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 Python</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 Python</w:t>
            </w:r>
          </w:p>
        </w:tc>
        <w:tc>
          <w:tcPr>
            <w:tcW w:type="dxa" w:w="2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Identical; reported separately</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Quantisation</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Folded into the CPU reference</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Host converts to INT8 and packs tensors</w:t>
            </w:r>
          </w:p>
        </w:tc>
        <w:tc>
          <w:tcPr>
            <w:tcW w:type="dxa" w:w="2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Reported separately</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Weight loading</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memory</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DMA to weight SRAM</w:t>
            </w:r>
          </w:p>
        </w:tc>
        <w:tc>
          <w:tcPr>
            <w:tcW w:type="dxa" w:w="2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One-time cost, reported</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Convolution layers</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INT8 kernel</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EdgeASIC IP</w:t>
            </w:r>
          </w:p>
        </w:tc>
        <w:tc>
          <w:tcPr>
            <w:tcW w:type="dxa" w:w="2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Kernel acceleration claim</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Activation and pooling</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EdgeASIC IP</w:t>
            </w:r>
          </w:p>
        </w:tc>
        <w:tc>
          <w:tcPr>
            <w:tcW w:type="dxa" w:w="2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Included in kernel time</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Concat / split / upsample</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IP addressing</w:t>
            </w:r>
          </w:p>
        </w:tc>
        <w:tc>
          <w:tcPr>
            <w:tcW w:type="dxa" w:w="2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Included in kernel time</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Detection decode</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 Python</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 Python</w:t>
            </w:r>
          </w:p>
        </w:tc>
        <w:tc>
          <w:tcPr>
            <w:tcW w:type="dxa" w:w="2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Identical; reported separately</w:t>
            </w:r>
          </w:p>
        </w:tc>
      </w:tr>
      <w:tr>
        <w:trPr>
          <w:tblHeader w:val="false"/>
        </w:trPr>
        <w:tc>
          <w:tcPr>
            <w:tcW w:type="dxa" w:w="3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NMS</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 Python</w:t>
            </w:r>
          </w:p>
        </w:tc>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CPU / Python</w:t>
            </w:r>
          </w:p>
        </w:tc>
        <w:tc>
          <w:tcPr>
            <w:tcW w:type="dxa" w:w="28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Identical; reported separately</w:t>
            </w:r>
          </w:p>
        </w:tc>
      </w:tr>
      <w:tr>
        <w:trPr>
          <w:tblHeader w:val="false"/>
        </w:trPr>
        <w:tc>
          <w:tcPr>
            <w:tcW w:type="dxa" w:w="3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Output</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Boxes and confidences</w:t>
            </w:r>
          </w:p>
        </w:tc>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Boxes and confidences</w:t>
            </w:r>
          </w:p>
        </w:tc>
        <w:tc>
          <w:tcPr>
            <w:tcW w:type="dxa" w:w="28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Equivalence check, then timing</w:t>
            </w:r>
          </w:p>
        </w:tc>
      </w:tr>
    </w:tbl>
    <w:p>
      <w:pPr>
        <w:pStyle w:val="Heading1"/>
        <w:spacing w:after="120" w:before="240"/>
      </w:pPr>
      <w:r>
        <w:rPr>
          <w:rFonts w:ascii="Calibri" w:cs="Calibri" w:eastAsia="Calibri" w:hAnsi="Calibri"/>
          <w:b/>
          <w:bCs/>
          <w:color w:val="1F3864"/>
          <w:sz w:val="28"/>
          <w:szCs w:val="28"/>
        </w:rPr>
        <w:t xml:space="preserve">12. Risk Register and Recovery Rules</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3000"/>
        <w:gridCol w:w="1400"/>
        <w:gridCol w:w="1500"/>
        <w:gridCol w:w="3400"/>
        <w:gridCol w:w="4400"/>
      </w:tblGrid>
      <w:tr>
        <w:trPr>
          <w:tblHeader/>
        </w:trPr>
        <w:tc>
          <w:tcPr>
            <w:tcW w:type="dxa" w:w="7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ID</w:t>
            </w:r>
          </w:p>
        </w:tc>
        <w:tc>
          <w:tcPr>
            <w:tcW w:type="dxa" w:w="3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Risk</w:t>
            </w:r>
          </w:p>
        </w:tc>
        <w:tc>
          <w:tcPr>
            <w:tcW w:type="dxa" w:w="1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Severity</w:t>
            </w:r>
          </w:p>
        </w:tc>
        <w:tc>
          <w:tcPr>
            <w:tcW w:type="dxa" w:w="15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Probability</w:t>
            </w:r>
          </w:p>
        </w:tc>
        <w:tc>
          <w:tcPr>
            <w:tcW w:type="dxa" w:w="3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Impact</w:t>
            </w:r>
          </w:p>
        </w:tc>
        <w:tc>
          <w:tcPr>
            <w:tcW w:type="dxa" w:w="4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Mitigation / recovery</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R1</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Integration debug term exceeds the Week 1 estimate</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Critical</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Every downstream phase boundary moves</w:t>
            </w:r>
          </w:p>
        </w:tc>
        <w:tc>
          <w:tcPr>
            <w:tcW w:type="dxa" w:w="4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Week 1 checkpoint measures it directly. Weeks 2–3 are contingency. Pre-approved fallback to trimmed scope plus addressing-bucket operators.</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R2</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Silent regression via web-UI file re-upload</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Critical</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High</w:t>
            </w:r>
          </w:p>
        </w:tc>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Verified modules break with no visible diff</w:t>
            </w:r>
          </w:p>
        </w:tc>
        <w:tc>
          <w:tcPr>
            <w:tcW w:type="dxa" w:w="4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Branch-and-PR mandatory from Week 1. CI runs make all on every PR from Week 3 and blocks merge on failure.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R3</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Full-scope control plane (P5) overruns</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High</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Network bring-up delayed past January</w:t>
            </w:r>
          </w:p>
        </w:tc>
        <w:tc>
          <w:tcPr>
            <w:tcW w:type="dxa" w:w="4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P5 is the designated compressible phase. Graph scheduler and C2f sequencing degrade gracefully to host-sequenced descriptors without invalidating the datapath.</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R4</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Duty cycle falls during the academic semester</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High</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Calendar schedule slips even if velocity holds</w:t>
            </w:r>
          </w:p>
        </w:tc>
        <w:tc>
          <w:tcPr>
            <w:tcW w:type="dxa" w:w="4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Weeks 19–20 are already de-rated. Weeks 34–36 provide terminal margin ahead of the 30 April deadline.</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R5</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Synthesis reveals a timing failure</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High</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Late pipeline rework in the datapath</w:t>
            </w:r>
          </w:p>
        </w:tc>
        <w:tc>
          <w:tcPr>
            <w:tcW w:type="dxa" w:w="4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P7 is scheduled before the terminal margin, not inside it. Pipeline insertion is localised to the requant and accumulator stages.</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R6</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INT8 quantisation degrades mAP unacceptably</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Accuracy claim weakened</w:t>
            </w:r>
          </w:p>
        </w:tc>
        <w:tc>
          <w:tcPr>
            <w:tcW w:type="dxa" w:w="4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Week 24 performs per-layer error attribution. Report the result honestly; do not tune the model to conceal a datapath defect.</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R7</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Person B overload on the control plane</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High</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Control-plane quality drops, integration stalls</w:t>
            </w:r>
          </w:p>
        </w:tc>
        <w:tc>
          <w:tcPr>
            <w:tcW w:type="dxa" w:w="4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Person A owns synthesis lint and critical-path work in P7. Integration weeks are joint. No untested RTL merges without a TC-ID.</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R8</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Throughput expectation mismatch at defence</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High</w:t>
            </w:r>
          </w:p>
        </w:tc>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Credibility damage from a perceived overclaim</w:t>
            </w:r>
          </w:p>
        </w:tc>
        <w:tc>
          <w:tcPr>
            <w:tcW w:type="dxa" w:w="4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The throughput position (§5) appears in the thesis abstract and the opening slides, not buried in results.</w:t>
            </w:r>
          </w:p>
        </w:tc>
      </w:tr>
      <w:tr>
        <w:trPr>
          <w:tblHeader w:val="false"/>
        </w:trPr>
        <w:tc>
          <w:tcPr>
            <w:tcW w:type="dxa" w:w="7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R9</w:t>
            </w:r>
          </w:p>
        </w:tc>
        <w:tc>
          <w:tcPr>
            <w:tcW w:type="dxa" w:w="3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requant.sv constant-select behaves differently in synthesis</w:t>
            </w:r>
          </w:p>
        </w:tc>
        <w:tc>
          <w:tcPr>
            <w:tcW w:type="dxa" w:w="1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15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Silent functional divergence from simulation</w:t>
            </w:r>
          </w:p>
        </w:tc>
        <w:tc>
          <w:tcPr>
            <w:tcW w:type="dxa" w:w="4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Week 25 resolves the warning and Week 26 runs post-synthesis equivalence regression.</w:t>
            </w:r>
          </w:p>
        </w:tc>
      </w:tr>
      <w:tr>
        <w:trPr>
          <w:tblHeader w:val="false"/>
        </w:trPr>
        <w:tc>
          <w:tcPr>
            <w:tcW w:type="dxa" w:w="7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R10</w:t>
            </w:r>
          </w:p>
        </w:tc>
        <w:tc>
          <w:tcPr>
            <w:tcW w:type="dxa" w:w="3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Descriptor cannot express concat/split addressing</w:t>
            </w:r>
          </w:p>
        </w:tc>
        <w:tc>
          <w:tcPr>
            <w:tcW w:type="dxa" w:w="1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Medium</w:t>
            </w:r>
          </w:p>
        </w:tc>
        <w:tc>
          <w:tcPr>
            <w:tcW w:type="dxa" w:w="15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Low</w:t>
            </w:r>
          </w:p>
        </w:tc>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Three operators need unplanned datapath</w:t>
            </w:r>
          </w:p>
        </w:tc>
        <w:tc>
          <w:tcPr>
            <w:tcW w:type="dxa" w:w="4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Week 10 tests this claim explicitly and early. A failure there is absorbed by P5, which has the most slack.</w:t>
            </w:r>
          </w:p>
        </w:tc>
      </w:tr>
    </w:tbl>
    <w:p>
      <w:pPr>
        <w:pStyle w:val="Heading2"/>
        <w:spacing w:after="120" w:before="240"/>
      </w:pPr>
      <w:r>
        <w:rPr>
          <w:rFonts w:ascii="Calibri" w:cs="Calibri" w:eastAsia="Calibri" w:hAnsi="Calibri"/>
          <w:b/>
          <w:bCs/>
          <w:color w:val="1F3864"/>
          <w:sz w:val="22"/>
          <w:szCs w:val="22"/>
        </w:rPr>
        <w:t xml:space="preserve">12.1 Feature Claim Recovery Rule</w:t>
      </w:r>
    </w:p>
    <w:p>
      <w:pPr>
        <w:spacing w:after="60" w:before="60"/>
        <w:jc w:val="left"/>
      </w:pPr>
      <w:r>
        <w:rPr>
          <w:rFonts w:ascii="Calibri" w:cs="Calibri" w:eastAsia="Calibri" w:hAnsi="Calibri"/>
          <w:b w:val="false"/>
          <w:bCs w:val="false"/>
          <w:i w:val="false"/>
          <w:iCs w:val="false"/>
          <w:color w:val="000000"/>
          <w:sz w:val="18"/>
          <w:szCs w:val="18"/>
        </w:rPr>
        <w:t xml:space="preserve">Because full scope is aggressive for a two-person team, the plan retains the v4.8 claim-control rule unchanged. A scheduled target remains a primary target, but it may only be claimed as implemented if a passing TC-ID exists at submission. Otherwise it is reported as partial, disabled or host-side. Restoring full scope expands what may be attempted; it does not relax what may be claimed.</w:t>
      </w:r>
    </w:p>
    <w:p>
      <w:r>
        <w:br w:type="page"/>
      </w:r>
    </w:p>
    <w:p>
      <w:pPr>
        <w:pStyle w:val="Heading1"/>
        <w:spacing w:after="120" w:before="240"/>
      </w:pPr>
      <w:r>
        <w:rPr>
          <w:rFonts w:ascii="Calibri" w:cs="Calibri" w:eastAsia="Calibri" w:hAnsi="Calibri"/>
          <w:b/>
          <w:bCs/>
          <w:color w:val="1F3864"/>
          <w:sz w:val="28"/>
          <w:szCs w:val="28"/>
        </w:rPr>
        <w:t xml:space="preserve">13. Repository and Deliverable Structure</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400"/>
        <w:gridCol w:w="11000"/>
      </w:tblGrid>
      <w:tr>
        <w:trPr>
          <w:tblHeader/>
        </w:trPr>
        <w:tc>
          <w:tcPr>
            <w:tcW w:type="dxa" w:w="3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Directory</w:t>
            </w:r>
          </w:p>
        </w:tc>
        <w:tc>
          <w:tcPr>
            <w:tcW w:type="dxa" w:w="11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Contents</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rtl/pkg</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config_pkg.sv, types_pkg.sv, op/act enums, pipe_meta_t, descriptor_t</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rtl/core</w:t>
            </w:r>
          </w:p>
        </w:tc>
        <w:tc>
          <w:tcPr>
            <w:tcW w:type="dxa" w:w="1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pe_mac, systolic_array_8x8, sddu, accum_engine, accum_buffer, requant, lut_silu, maxpool_unit, elementwise_unit</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rtl/control</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csr_block, descriptor_manager, descriptor_ring, graph_scheduler, operator_dispatcher, tensor_table, tile_sequencer, conv2d_window_gen, interrupt_logic</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rtl/memory</w:t>
            </w:r>
          </w:p>
        </w:tc>
        <w:tc>
          <w:tcPr>
            <w:tcW w:type="dxa" w:w="1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activation_sram, weight_sram, output_sram, residual_sram, bias_quant_sram, bank_state_controller, axi_dma_master_abs, dma_read_router, dma_arbiter, packing_fifo</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rtl/top</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edgeasic_top, prefetch/compute/writeback FSMs</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tb</w:t>
            </w:r>
          </w:p>
        </w:tc>
        <w:tc>
          <w:tcPr>
            <w:tcW w:type="dxa" w:w="1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Directed unit testbenches, golden regression harnesses, end-to-end and network-level tests</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tb/vectors</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$readmemh stimulus and expected vectors generated by gen_vectors.py</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golden model</w:t>
            </w:r>
          </w:p>
        </w:tc>
        <w:tc>
          <w:tcPr>
            <w:tcW w:type="dxa" w:w="1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edgeasic_model.py, gen_vectors.py, test_model.py, golden regression harnesses</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sw</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Host driver, descriptor emission, memory image generation, decode and NMS</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syn</w:t>
            </w:r>
          </w:p>
        </w:tc>
        <w:tc>
          <w:tcPr>
            <w:tcW w:type="dxa" w:w="1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Synthesis scripts, constraints, timing/area/power reports</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docs</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Architecture specification, this plan, interface contracts, weekly notes</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scripts</w:t>
            </w:r>
          </w:p>
        </w:tc>
        <w:tc>
          <w:tcPr>
            <w:tcW w:type="dxa" w:w="1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Regression runners, CI configuration</w:t>
            </w:r>
          </w:p>
        </w:tc>
      </w:tr>
    </w:tbl>
    <w:p>
      <w:pPr>
        <w:pStyle w:val="Heading2"/>
        <w:spacing w:after="120" w:before="240"/>
      </w:pPr>
      <w:r>
        <w:rPr>
          <w:rFonts w:ascii="Calibri" w:cs="Calibri" w:eastAsia="Calibri" w:hAnsi="Calibri"/>
          <w:b/>
          <w:bCs/>
          <w:color w:val="1F3864"/>
          <w:sz w:val="22"/>
          <w:szCs w:val="22"/>
        </w:rPr>
        <w:t xml:space="preserve">13.1 Weekly Evidence Package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RTL files changed during the week.</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Testbench files and Python golden-model changes.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Regression log showing pass/fail status for every target.</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Waveform capture for timing-sensitive changes.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Short weekly note: what passed, what failed, what is blocked, what changes next week.</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Updated issue tracker entries for unresolved defects.</w:t>
      </w:r>
    </w:p>
    <w:p>
      <w:pPr>
        <w:pStyle w:val="Heading1"/>
        <w:spacing w:after="120" w:before="240"/>
      </w:pPr>
      <w:r>
        <w:rPr>
          <w:rFonts w:ascii="Calibri" w:cs="Calibri" w:eastAsia="Calibri" w:hAnsi="Calibri"/>
          <w:b/>
          <w:bCs/>
          <w:color w:val="1F3864"/>
          <w:sz w:val="28"/>
          <w:szCs w:val="28"/>
        </w:rPr>
        <w:t xml:space="preserve">14. Final Defence Package and Claim Discipline</w:t>
      </w:r>
    </w:p>
    <w:p>
      <w:pPr>
        <w:pStyle w:val="Heading2"/>
        <w:spacing w:after="120" w:before="240"/>
      </w:pPr>
      <w:r>
        <w:rPr>
          <w:rFonts w:ascii="Calibri" w:cs="Calibri" w:eastAsia="Calibri" w:hAnsi="Calibri"/>
          <w:b/>
          <w:bCs/>
          <w:color w:val="1F3864"/>
          <w:sz w:val="22"/>
          <w:szCs w:val="22"/>
        </w:rPr>
        <w:t xml:space="preserve">14.1 Recommended Final Title</w:t>
      </w:r>
    </w:p>
    <w:p>
      <w:pPr>
        <w:spacing w:after="60" w:before="60"/>
        <w:jc w:val="left"/>
      </w:pPr>
      <w:r>
        <w:rPr>
          <w:rFonts w:ascii="Calibri" w:cs="Calibri" w:eastAsia="Calibri" w:hAnsi="Calibri"/>
          <w:b/>
          <w:bCs/>
          <w:i w:val="false"/>
          <w:iCs w:val="false"/>
          <w:color w:val="000000"/>
          <w:sz w:val="20"/>
          <w:szCs w:val="20"/>
        </w:rPr>
        <w:t xml:space="preserve">Design, Verification and Characterisation of a Host-Assisted INT8 Edge Inference Accelerator for YOLOv8n Compute-Layer Execution</w:t>
      </w:r>
    </w:p>
    <w:p>
      <w:pPr>
        <w:pStyle w:val="Heading2"/>
        <w:spacing w:after="120" w:before="240"/>
      </w:pPr>
      <w:r>
        <w:rPr>
          <w:rFonts w:ascii="Calibri" w:cs="Calibri" w:eastAsia="Calibri" w:hAnsi="Calibri"/>
          <w:b/>
          <w:bCs/>
          <w:color w:val="1F3864"/>
          <w:sz w:val="22"/>
          <w:szCs w:val="22"/>
        </w:rPr>
        <w:t xml:space="preserve">14.2 Recommended Final Claim</w:t>
      </w:r>
    </w:p>
    <w:p>
      <w:pPr>
        <w:spacing w:after="60" w:before="60"/>
        <w:jc w:val="left"/>
      </w:pPr>
      <w:r>
        <w:rPr>
          <w:rFonts w:ascii="Calibri" w:cs="Calibri" w:eastAsia="Calibri" w:hAnsi="Calibri"/>
          <w:b w:val="false"/>
          <w:bCs w:val="false"/>
          <w:i w:val="false"/>
          <w:iCs w:val="false"/>
          <w:color w:val="000000"/>
          <w:sz w:val="18"/>
          <w:szCs w:val="18"/>
        </w:rPr>
        <w:t xml:space="preserve">We designed, implemented, verified and characterised a host-assisted INT8 edge inference accelerator that offloads convolution, GEMM, pooling, activation and tensor-restructuring primitives of YOLOv8n to a 64-PE weight-stationary systolic datapath. Correctness is established by bit-exact agreement with an independent Python golden reference model at every layer boundary, and end-to-end by mAP measurement against an FP32 reference. The design is characterised for gate count, critical path, area, power and per-layer array utilization, and the utilization analysis is used to derive the array width and memory capacity required for real-time operation.</w:t>
      </w:r>
    </w:p>
    <w:p>
      <w:pPr>
        <w:pStyle w:val="Heading2"/>
        <w:spacing w:after="120" w:before="240"/>
      </w:pPr>
      <w:r>
        <w:rPr>
          <w:rFonts w:ascii="Calibri" w:cs="Calibri" w:eastAsia="Calibri" w:hAnsi="Calibri"/>
          <w:b/>
          <w:bCs/>
          <w:color w:val="1F3864"/>
          <w:sz w:val="22"/>
          <w:szCs w:val="22"/>
        </w:rPr>
        <w:t xml:space="preserve">14.3 Claim Wording Control</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3400"/>
        <w:gridCol w:w="11000"/>
      </w:tblGrid>
      <w:tr>
        <w:trPr>
          <w:tblHeader/>
        </w:trPr>
        <w:tc>
          <w:tcPr>
            <w:tcW w:type="dxa" w:w="34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Claim type</w:t>
            </w:r>
          </w:p>
        </w:tc>
        <w:tc>
          <w:tcPr>
            <w:tcW w:type="dxa" w:w="110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Allowed wording</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Safe</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Implemented and verified modules with passing TC-IDs; host-assisted CPU+IP demonstration; kernel and system timing reported separately; synthesis, area and power figures with stated methodology.</w:t>
            </w:r>
          </w:p>
        </w:tc>
      </w:tr>
      <w:tr>
        <w:trPr>
          <w:tblHeader w:val="false"/>
        </w:trPr>
        <w:tc>
          <w:tcPr>
            <w:tcW w:type="dxa" w:w="34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Conditional</w:t>
            </w:r>
          </w:p>
        </w:tc>
        <w:tc>
          <w:tcPr>
            <w:tcW w:type="dxa" w:w="110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YOLOv8n compute-layer execution only for operators with passing tests. Real-time framing only in the scaling projection, never as a measured result.</w:t>
            </w:r>
          </w:p>
        </w:tc>
      </w:tr>
      <w:tr>
        <w:trPr>
          <w:tblHeader w:val="false"/>
        </w:trPr>
        <w:tc>
          <w:tcPr>
            <w:tcW w:type="dxa" w:w="34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Prohibited</w:t>
            </w:r>
          </w:p>
        </w:tc>
        <w:tc>
          <w:tcPr>
            <w:tcW w:type="dxa" w:w="110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Autonomous full YOLOv8n hardware execution; hardware decode or NMS; measured FPS without measurement; timing closure without tool evidence; silicon or tape-out claims.</w:t>
            </w:r>
          </w:p>
        </w:tc>
      </w:tr>
    </w:tbl>
    <w:tbl>
      <w:tblPr>
        <w:tblW w:type="dxa" w:w="14400"/>
        <w:tblBorders>
          <w:top w:val="single" w:color="BF9000" w:sz="6"/>
          <w:left w:val="single" w:color="BF9000" w:sz="6"/>
          <w:bottom w:val="single" w:color="BF9000" w:sz="6"/>
          <w:right w:val="single" w:color="BF9000" w:sz="6"/>
          <w:insideH w:val="none"/>
          <w:insideV w:val="none"/>
        </w:tblBorders>
      </w:tblPr>
      <w:tblGrid>
        <w:gridCol w:w="14400"/>
      </w:tblGrid>
      <w:tr>
        <w:tc>
          <w:tcPr>
            <w:tcW w:type="dxa" w:w="14400"/>
            <w:shd w:fill="FFF2CC" w:color="auto" w:val="clear"/>
            <w:tcMar>
              <w:top w:type="dxa" w:w="100"/>
              <w:left w:type="dxa" w:w="140"/>
              <w:bottom w:type="dxa" w:w="100"/>
              <w:right w:type="dxa" w:w="140"/>
            </w:tcMar>
          </w:tcPr>
          <w:p>
            <w:pPr>
              <w:spacing w:after="60"/>
            </w:pPr>
            <w:r>
              <w:rPr>
                <w:rFonts w:ascii="Calibri" w:cs="Calibri" w:eastAsia="Calibri" w:hAnsi="Calibri"/>
                <w:b/>
                <w:bCs/>
                <w:i w:val="false"/>
                <w:iCs w:val="false"/>
                <w:color w:val="000000"/>
                <w:sz w:val="17"/>
                <w:szCs w:val="17"/>
              </w:rPr>
              <w:t xml:space="preserve">Mandatory non-claim disclaimer</w:t>
            </w:r>
          </w:p>
          <w:p>
            <w:pPr>
              <w:spacing w:after="30" w:before="30"/>
            </w:pPr>
            <w:r>
              <w:rPr>
                <w:rFonts w:ascii="Calibri" w:cs="Calibri" w:eastAsia="Calibri" w:hAnsi="Calibri"/>
                <w:b w:val="false"/>
                <w:bCs w:val="false"/>
                <w:i w:val="false"/>
                <w:iCs w:val="false"/>
                <w:color w:val="000000"/>
                <w:sz w:val="16"/>
                <w:szCs w:val="16"/>
              </w:rPr>
              <w:t xml:space="preserve">This work does not perform autonomous full YOLOv8n hardware execution. Detection decode and non-maximum suppression are host-side software. No frame-rate claim is made beyond the analytical throughput bound stated in §5. No silicon implementation or tape-out is claimed.</w:t>
            </w:r>
          </w:p>
          <w:p>
            <w:pPr>
              <w:spacing w:after="30" w:before="30"/>
            </w:pPr>
            <w:r>
              <w:rPr>
                <w:rFonts w:ascii="Calibri" w:cs="Calibri" w:eastAsia="Calibri" w:hAnsi="Calibri"/>
                <w:b w:val="false"/>
                <w:bCs w:val="false"/>
                <w:i w:val="false"/>
                <w:iCs w:val="false"/>
                <w:color w:val="000000"/>
                <w:sz w:val="16"/>
                <w:szCs w:val="16"/>
              </w:rPr>
              <w:t xml:space="preserve">No diagram in the thesis or slide deck may imply that the accelerator alone performs full image-to-boxes YOLOv8n execution.</w:t>
            </w:r>
          </w:p>
        </w:tc>
      </w:tr>
    </w:tbl>
    <w:p>
      <w:r>
        <w:br w:type="page"/>
      </w:r>
    </w:p>
    <w:p>
      <w:pPr>
        <w:pStyle w:val="Heading1"/>
        <w:spacing w:after="120" w:before="240"/>
      </w:pPr>
      <w:r>
        <w:rPr>
          <w:rFonts w:ascii="Calibri" w:cs="Calibri" w:eastAsia="Calibri" w:hAnsi="Calibri"/>
          <w:b/>
          <w:bCs/>
          <w:color w:val="1F3864"/>
          <w:sz w:val="28"/>
          <w:szCs w:val="28"/>
        </w:rPr>
        <w:t xml:space="preserve">Appendix A — Weekly Test ID Map</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900"/>
        <w:gridCol w:w="4600"/>
        <w:gridCol w:w="8900"/>
      </w:tblGrid>
      <w:tr>
        <w:trPr>
          <w:tblHeader/>
        </w:trPr>
        <w:tc>
          <w:tcPr>
            <w:tcW w:type="dxa" w:w="9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Wk</w:t>
            </w:r>
          </w:p>
        </w:tc>
        <w:tc>
          <w:tcPr>
            <w:tcW w:type="dxa" w:w="46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Focus</w:t>
            </w:r>
          </w:p>
        </w:tc>
        <w:tc>
          <w:tcPr>
            <w:tcW w:type="dxa" w:w="89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5"/>
                <w:szCs w:val="15"/>
              </w:rPr>
              <w:t xml:space="preserve">Key tests / evidence</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Single-layer end-to-end attempt (velocity checkpoint)</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TC-WGEN-001 counter sequence 3×3 s1; TC-WGEN-002 padding at edges and corners; TC-SEQ-001 k_tile_first/last placement across sub-tiles; TC-E2E-001 bit-exact single conv layer vs. edgeasic_model.py.</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Single-layer hardening and shape coverage</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TC-CONV1X1-001/002/003 single, multi-channel and multi-tile; TC-STRIDE-001 stride-2; TC-MASK-001 partial tile M/N; TC-E2E-002 multi-K tile.</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Signed adversarial coverage and regression lock</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TC-E2E-003 negative tensors; TC-E2E-004 saturation at INT8 boundary; TC-REG-001 multi-seed sweep across five seeds.</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4</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LUT-SiLU activation</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TC-SILU-001 all 256 input codes vs. Python; TC-SILU-002 per-layer table reload; TC-SILU-003 activation mode switching mid-stream.</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5</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Layer-boundary contract</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TC-CHAIN-001 two-layer handoff; TC-BSC-003 bank ownership across boundary; TC-PARAM-001 mid-stream parameter switch.</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6</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Descriptor ring</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TC-RING-001 push/pop; TC-RING-002 ring full; TC-RING-003 ring empty; TC-RING-004 wrap-around.</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7</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Five-layer CBS stack</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TC-CHAIN-002 five-layer CBS stack vs. PyTorch INT8 reference, checked at every intermediate tensor.</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8</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Chaining hardening and performance counters</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TC-PERF-001 counter correctness against simulation cycle count; TC-CHAIN-003 sustained backpressure.</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9</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Maxpool and SPPF engine</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TC-POOL-001 2×2 maxpool; TC-POOL-002 5×5 maxpool; TC-SPPF-001 repeated pooling and concat.</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10</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Concat, split and upsample as addressing</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TC-CAT-001 channel concat; TC-SPLIT-001 tensor view split; TC-UP-001 2× nearest-neighbour upsample.</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11</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Tensor Table</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TC-TT-001 entry write/read; TC-TT-002 base/shape/stride decode; TC-TT-003 descriptor referencing tensor by ID.</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12</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Graph scheduler — linear sequencing</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TC-GS-001 in-order layer sequence; TC-GS-002 dependency stall until producer completes.</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13</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Graph scheduler — branching and rejoin</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TC-GS-003 branch fan-out; TC-GS-004 rejoin synchronisation; TC-GS-005 multi-consumer lifetime.</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14</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C2f block sequencer</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TC-C2F-001 single C2f block vs. PyTorch; TC-C2F-002 shape propagation; TC-C2F-003 variable bottleneck count.</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15</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Elementwise and residual path</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TC-EW-001 residual add; TC-EW-002 mismatched input scales; TC-EW-003 saturation on add.</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16</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Detect head convolution and raw export</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TC-HEAD-001 single scale; TC-HEAD-002 all three scales; TC-HEAD-003 raw export byte layout vs. host expectation.</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17</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DMA arbiter</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TC-ARB-001 priority ordering; TC-ARB-002 starvation avoidance; TC-ARB-003 concurrent prefetch and writeback.</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18</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Interrupt logic, sticky errors and full counters</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TC-IRQ-001 done interrupt; TC-IRQ-002 error interrupt; TC-IRQ-003 W1C clear; TC-PERF-002 full counter set.</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19</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Reduced week — regression consolidation</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TC-REG-002 full-scope multi-seed sweep.</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20</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Reduced week — full-network model</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TC-SW-001 Python full-network forward vs. PyTorch INT8.</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21</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Backbone bring-up</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TC-NET-001 backbone per-layer tensor match.</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22</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Neck bring-up</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TC-NET-002 neck per-layer tensor match.</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23</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Head bring-up and full forward pass</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TC-NET-003 full forward vs. Python model; TC-NET-004 vs. PyTorch FP32 within stated tolerance.</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24</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Accuracy characterisation</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TC-MAP-001 mAP on a subset of at least 100 images; TC-MAP-002 CPU-only vs. CPU+IP equivalence.</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25</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Synthesis setup</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TC-SYN-001 lint clean with zero warnings; TC-SYN-002 synthesis completes without inference errors.</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26</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Timing and gate count</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TC-SYN-003 timing report; TC-SYN-004 gate count by module; TC-SYN-005 post-synthesis equivalence.</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27</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Area and power</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TC-AREA-001 area breakdown by module; TC-PWR-001 power estimate with stated methodology.</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28</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Utilization and scaling study</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TC-UTIL-001 per-layer utilization; TC-SCALE-001 320×320 comparison; TC-SCALE-002 N=16 analytical projection.</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29</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Demo path construction</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TC-DEMO-001 both paths produce equivalent detections on the same input.</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30</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Performance comparison</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TC-PERF-003 kernel comparison; TC-PERF-004 full-system comparison.</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31</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Thesis writing block 1</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Internal review against the implemented module list.</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32</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Thesis writing block 2</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Cross-check every described module against the repository.</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33</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Thesis writing block 3</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Every result traced to a log, waveform or tool report.</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34</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Claim audit and evidence mapping</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DOC-001 claim/evidence mapping; DOC-002 no-go claim audit.</w:t>
            </w:r>
          </w:p>
        </w:tc>
      </w:tr>
      <w:tr>
        <w:trPr>
          <w:tblHeader w:val="false"/>
        </w:trPr>
        <w:tc>
          <w:tcPr>
            <w:tcW w:type="dxa" w:w="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35</w:t>
            </w:r>
          </w:p>
        </w:tc>
        <w:tc>
          <w:tcPr>
            <w:tcW w:type="dxa" w:w="46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Supervisor review and revision</w:t>
            </w:r>
          </w:p>
        </w:tc>
        <w:tc>
          <w:tcPr>
            <w:tcW w:type="dxa" w:w="89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Supervisor review checklist closed.</w:t>
            </w:r>
          </w:p>
        </w:tc>
      </w:tr>
      <w:tr>
        <w:trPr>
          <w:tblHeader w:val="false"/>
        </w:trPr>
        <w:tc>
          <w:tcPr>
            <w:tcW w:type="dxa" w:w="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36</w:t>
            </w:r>
          </w:p>
        </w:tc>
        <w:tc>
          <w:tcPr>
            <w:tcW w:type="dxa" w:w="46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Defence rehearsal and submission</w:t>
            </w:r>
          </w:p>
        </w:tc>
        <w:tc>
          <w:tcPr>
            <w:tcW w:type="dxa" w:w="89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5"/>
                <w:szCs w:val="15"/>
              </w:rPr>
              <w:t xml:space="preserve">DEMO-002 recorded demo; DEF-001 Q&amp;A checklist; REL-001 repository freeze.</w:t>
            </w:r>
          </w:p>
        </w:tc>
      </w:tr>
    </w:tbl>
    <w:p>
      <w:r>
        <w:br w:type="page"/>
      </w:r>
    </w:p>
    <w:p>
      <w:pPr>
        <w:pStyle w:val="Heading1"/>
        <w:spacing w:after="120" w:before="240"/>
      </w:pPr>
      <w:r>
        <w:rPr>
          <w:rFonts w:ascii="Calibri" w:cs="Calibri" w:eastAsia="Calibri" w:hAnsi="Calibri"/>
          <w:b/>
          <w:bCs/>
          <w:color w:val="1F3864"/>
          <w:sz w:val="28"/>
          <w:szCs w:val="28"/>
        </w:rPr>
        <w:t xml:space="preserve">Appendix B — Weekly Review Template</w:t>
      </w:r>
    </w:p>
    <w:tbl>
      <w:tblPr>
        <w:tblW w:type="dxa" w:w="14400"/>
        <w:tblBorders>
          <w:top w:val="single" w:color="A6A6A6" w:sz="4"/>
          <w:left w:val="single" w:color="A6A6A6" w:sz="4"/>
          <w:bottom w:val="single" w:color="A6A6A6" w:sz="4"/>
          <w:right w:val="single" w:color="A6A6A6" w:sz="4"/>
          <w:insideH w:val="single" w:color="BFBFBF" w:sz="2"/>
          <w:insideV w:val="single" w:color="BFBFBF" w:sz="2"/>
        </w:tblBorders>
      </w:tblPr>
      <w:tblGrid>
        <w:gridCol w:w="4200"/>
        <w:gridCol w:w="10200"/>
      </w:tblGrid>
      <w:tr>
        <w:trPr>
          <w:tblHeader/>
        </w:trPr>
        <w:tc>
          <w:tcPr>
            <w:tcW w:type="dxa" w:w="4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Review item</w:t>
            </w:r>
          </w:p>
        </w:tc>
        <w:tc>
          <w:tcPr>
            <w:tcW w:type="dxa" w:w="10200"/>
            <w:shd w:fill="D9E2F3" w:color="auto" w:val="clear"/>
            <w:tcMar>
              <w:top w:type="dxa" w:w="60"/>
              <w:left w:type="dxa" w:w="80"/>
              <w:bottom w:type="dxa" w:w="60"/>
              <w:right w:type="dxa" w:w="80"/>
            </w:tcMar>
          </w:tcPr>
          <w:p>
            <w:pPr>
              <w:spacing w:after="20" w:before="20"/>
            </w:pPr>
            <w:r>
              <w:rPr>
                <w:rFonts w:ascii="Calibri" w:cs="Calibri" w:eastAsia="Calibri" w:hAnsi="Calibri"/>
                <w:b/>
                <w:bCs/>
                <w:i w:val="false"/>
                <w:iCs w:val="false"/>
                <w:color w:val="000000"/>
                <w:sz w:val="16"/>
                <w:szCs w:val="16"/>
              </w:rPr>
              <w:t xml:space="preserve">Question to answer</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Scope</w:t>
            </w:r>
          </w:p>
        </w:tc>
        <w:tc>
          <w:tcPr>
            <w:tcW w:type="dxa" w:w="10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Did this week remain within the planned scope and avoid unreviewed scope creep?</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RTL status</w:t>
            </w:r>
          </w:p>
        </w:tc>
        <w:tc>
          <w:tcPr>
            <w:tcW w:type="dxa" w:w="10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Which modules compiled, simulated and passed directed tests?</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Verification status</w:t>
            </w:r>
          </w:p>
        </w:tc>
        <w:tc>
          <w:tcPr>
            <w:tcW w:type="dxa" w:w="10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Which TC-IDs passed, which failed, which are not yet written?</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Golden model</w:t>
            </w:r>
          </w:p>
        </w:tc>
        <w:tc>
          <w:tcPr>
            <w:tcW w:type="dxa" w:w="10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Does the Python reference still agree bit-exactly with the RTL for every covered feature?</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Regression</w:t>
            </w:r>
          </w:p>
        </w:tc>
        <w:tc>
          <w:tcPr>
            <w:tcW w:type="dxa" w:w="10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Did make all pass on the main branch? Did CI block any pull request?</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Waveform evidence</w:t>
            </w:r>
          </w:p>
        </w:tc>
        <w:tc>
          <w:tcPr>
            <w:tcW w:type="dxa" w:w="10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Was waveform evidence captured for every timing-sensitive change?</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Blockers</w:t>
            </w:r>
          </w:p>
        </w:tc>
        <w:tc>
          <w:tcPr>
            <w:tcW w:type="dxa" w:w="10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What is blocked, on whom, and what is the unblock action?</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Gate decision</w:t>
            </w:r>
          </w:p>
        </w:tc>
        <w:tc>
          <w:tcPr>
            <w:tcW w:type="dxa" w:w="10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Is the weekly exit gate closed, waived with logged risk, or failed?</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Schedule impact</w:t>
            </w:r>
          </w:p>
        </w:tc>
        <w:tc>
          <w:tcPr>
            <w:tcW w:type="dxa" w:w="10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If the gate failed, which week absorbs the overrun and which phase boundary moves?</w:t>
            </w:r>
          </w:p>
        </w:tc>
      </w:tr>
      <w:tr>
        <w:trPr>
          <w:tblHeader w:val="false"/>
        </w:trPr>
        <w:tc>
          <w:tcPr>
            <w:tcW w:type="dxa" w:w="4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Claim register</w:t>
            </w:r>
          </w:p>
        </w:tc>
        <w:tc>
          <w:tcPr>
            <w:tcW w:type="dxa" w:w="10200"/>
            <w:shd w:fill="F2F5FB" w:color="auto" w:val="clear"/>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Did any feature become claimable this week, and is its evidence recorded?</w:t>
            </w:r>
          </w:p>
        </w:tc>
      </w:tr>
      <w:tr>
        <w:trPr>
          <w:tblHeader w:val="false"/>
        </w:trPr>
        <w:tc>
          <w:tcPr>
            <w:tcW w:type="dxa" w:w="4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Process</w:t>
            </w:r>
          </w:p>
        </w:tc>
        <w:tc>
          <w:tcPr>
            <w:tcW w:type="dxa" w:w="10200"/>
            <w:tcMar>
              <w:top w:type="dxa" w:w="60"/>
              <w:left w:type="dxa" w:w="80"/>
              <w:bottom w:type="dxa" w:w="60"/>
              <w:right w:type="dxa" w:w="80"/>
            </w:tcMar>
          </w:tcPr>
          <w:p>
            <w:pPr>
              <w:spacing w:after="20" w:before="20"/>
            </w:pPr>
            <w:r>
              <w:rPr>
                <w:rFonts w:ascii="Calibri" w:cs="Calibri" w:eastAsia="Calibri" w:hAnsi="Calibri"/>
                <w:b w:val="false"/>
                <w:bCs w:val="false"/>
                <w:i w:val="false"/>
                <w:iCs w:val="false"/>
                <w:color w:val="000000"/>
                <w:sz w:val="16"/>
                <w:szCs w:val="16"/>
              </w:rPr>
              <w:t xml:space="preserve">Did every change land via branch and pull request?</w:t>
            </w:r>
          </w:p>
        </w:tc>
      </w:tr>
    </w:tbl>
    <w:p>
      <w:r>
        <w:br w:type="page"/>
      </w:r>
    </w:p>
    <w:p>
      <w:pPr>
        <w:pStyle w:val="Heading1"/>
        <w:spacing w:after="120" w:before="240"/>
      </w:pPr>
      <w:r>
        <w:rPr>
          <w:rFonts w:ascii="Calibri" w:cs="Calibri" w:eastAsia="Calibri" w:hAnsi="Calibri"/>
          <w:b/>
          <w:bCs/>
          <w:color w:val="1F3864"/>
          <w:sz w:val="28"/>
          <w:szCs w:val="28"/>
        </w:rPr>
        <w:t xml:space="preserve">Appendix C — Final Submission Checklist</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Architecture specification matches the implemented feature status.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RTL implementation guide matches actual module names and interfaces.</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This plan’s final status table marks every target as implemented, partial, disabled or host-side.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Every final claim maps to a log, waveform, tool report or demo recording.</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Synthesis, timing, area and power reports are included with stated methodology.</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Per-layer utilization plot and array scaling projection are included.</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mAP comparison against the FP32 reference is included with the image subset described.</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CPU-only versus CPU+IP comparison includes both kernel and full-system timing with a named baseline.</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The throughput position appears in the abstract, not only in the results chapter.</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Final slides include the host/software partition and the non-claim disclaimer.</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No diagram implies that the accelerator alone performs full image-to-boxes YOLOv8n execution.</w:t>
      </w:r>
    </w:p>
    <w:p>
      <w:pPr>
        <w:pStyle w:val="ListParagraph"/>
        <w:numPr>
          <w:ilvl w:val="0"/>
          <w:numId w:val="2"/>
        </w:numPr>
        <w:spacing w:after="30" w:before="30"/>
      </w:pPr>
      <w:r>
        <w:rPr>
          <w:rFonts w:ascii="Calibri" w:cs="Calibri" w:eastAsia="Calibri" w:hAnsi="Calibri"/>
          <w:b w:val="false"/>
          <w:bCs w:val="false"/>
          <w:i w:val="false"/>
          <w:iCs w:val="false"/>
          <w:color w:val="000000"/>
          <w:sz w:val="18"/>
          <w:szCs w:val="18"/>
        </w:rPr>
        <w:t xml:space="preserve">Repository is frozen, tagged and reproducible from a clean clone via make all.</w:t>
      </w:r>
    </w:p>
    <w:p>
      <w:pPr>
        <w:spacing w:before="400"/>
        <w:jc w:val="center"/>
      </w:pPr>
      <w:r>
        <w:rPr>
          <w:rFonts w:ascii="Calibri" w:cs="Calibri" w:eastAsia="Calibri" w:hAnsi="Calibri"/>
          <w:b w:val="false"/>
          <w:bCs w:val="false"/>
          <w:i/>
          <w:iCs/>
          <w:color w:val="000000"/>
          <w:sz w:val="16"/>
          <w:szCs w:val="16"/>
        </w:rPr>
        <w:t xml:space="preserve">End of document — EdgeASIC v5.0, 17 August 2026</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EdgeASIC v5.0 — 36-Week Full-Scope Implementation Plan</dc:title>
  <dc:creator>EdgeASIC FYP Team</dc:creator>
  <cp:lastModifiedBy>Un-named</cp:lastModifiedBy>
  <cp:revision>1</cp:revision>
  <dcterms:created xsi:type="dcterms:W3CDTF">2026-08-16T20:21:33.150Z</dcterms:created>
  <dcterms:modified xsi:type="dcterms:W3CDTF">2026-08-16T20:21:33.168Z</dcterms:modified>
</cp:coreProperties>
</file>

<file path=docProps/custom.xml><?xml version="1.0" encoding="utf-8"?>
<Properties xmlns="http://schemas.openxmlformats.org/officeDocument/2006/custom-properties" xmlns:vt="http://schemas.openxmlformats.org/officeDocument/2006/docPropsVTypes"/>
</file>