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jc w:val="center"/>
      </w:pPr>
      <w:r>
        <w:rPr>
          <w:rFonts w:ascii="Calibri" w:cs="Calibri" w:eastAsia="Calibri" w:hAnsi="Calibri"/>
          <w:b/>
          <w:bCs/>
          <w:color w:val="1F3864"/>
          <w:sz w:val="56"/>
          <w:szCs w:val="56"/>
        </w:rPr>
        <w:t xml:space="preserve">EdgeASIC v5.0</w:t>
      </w:r>
    </w:p>
    <w:p>
      <w:pPr>
        <w:spacing w:after="140"/>
        <w:jc w:val="center"/>
      </w:pPr>
      <w:r>
        <w:rPr>
          <w:rFonts w:ascii="Calibri" w:cs="Calibri" w:eastAsia="Calibri" w:hAnsi="Calibri"/>
          <w:b/>
          <w:bCs/>
          <w:color w:val="1F3864"/>
          <w:sz w:val="32"/>
          <w:szCs w:val="32"/>
        </w:rPr>
        <w:t xml:space="preserve">Detailed Full-Scope Architecture Specification</w:t>
      </w:r>
    </w:p>
    <w:p>
      <w:pPr>
        <w:spacing w:after="100"/>
        <w:jc w:val="center"/>
      </w:pPr>
      <w:r>
        <w:rPr>
          <w:rFonts w:ascii="Calibri" w:cs="Calibri" w:eastAsia="Calibri" w:hAnsi="Calibri"/>
          <w:b w:val="false"/>
          <w:bCs w:val="false"/>
          <w:i w:val="false"/>
          <w:iCs w:val="false"/>
          <w:color w:val="000000"/>
          <w:sz w:val="24"/>
          <w:szCs w:val="24"/>
        </w:rPr>
        <w:t xml:space="preserve">Host-Assisted INT8 Conv/GEMM Accelerator for YOLOv8n Compute-Layer Execution</w:t>
      </w:r>
    </w:p>
    <w:p>
      <w:pPr>
        <w:spacing w:after="500"/>
        <w:jc w:val="center"/>
      </w:pPr>
      <w:r>
        <w:rPr>
          <w:rFonts w:ascii="Calibri" w:cs="Calibri" w:eastAsia="Calibri" w:hAnsi="Calibri"/>
          <w:b w:val="false"/>
          <w:bCs w:val="false"/>
          <w:i/>
          <w:iCs/>
          <w:color w:val="000000"/>
          <w:sz w:val="20"/>
          <w:szCs w:val="20"/>
        </w:rPr>
        <w:t xml:space="preserve">Architecture specification — hardware/software boundary, block contracts, claim discipline</w:t>
      </w:r>
    </w:p>
    <w:p>
      <w:pPr>
        <w:jc w:val="center"/>
      </w:pPr>
      <w:r>
        <w:rPr>
          <w:rFonts w:ascii="Calibri" w:cs="Calibri" w:eastAsia="Calibri" w:hAnsi="Calibri"/>
          <w:b/>
          <w:bCs/>
          <w:i w:val="false"/>
          <w:iCs w:val="false"/>
          <w:color w:val="000000"/>
          <w:sz w:val="20"/>
          <w:szCs w:val="20"/>
        </w:rPr>
        <w:t xml:space="preserve">Revision 5.0  ·  17 August 2026  ·  Supersedes v4.8</w:t>
      </w:r>
    </w:p>
    <w:p>
      <w:r>
        <w:br w:type="page"/>
      </w:r>
    </w:p>
    <w:p>
      <w:pPr>
        <w:pStyle w:val="Heading1"/>
        <w:spacing w:after="140" w:before="300"/>
      </w:pPr>
      <w:r>
        <w:rPr>
          <w:rFonts w:ascii="Calibri" w:cs="Calibri" w:eastAsia="Calibri" w:hAnsi="Calibri"/>
          <w:b/>
          <w:bCs/>
          <w:color w:val="1F3864"/>
          <w:sz w:val="30"/>
          <w:szCs w:val="30"/>
        </w:rPr>
        <w:t xml:space="preserve">Document Control, Intent, and Reading Guide</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600"/>
        <w:gridCol w:w="6760"/>
      </w:tblGrid>
      <w:tr>
        <w:trPr>
          <w:tblHeader/>
        </w:trPr>
        <w:tc>
          <w:tcPr>
            <w:tcW w:type="dxa" w:w="26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Field</w:t>
            </w:r>
          </w:p>
        </w:tc>
        <w:tc>
          <w:tcPr>
            <w:tcW w:type="dxa" w:w="67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Value</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Project</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Synthesizable Pipelined INT8 Edge Inference Accelerator</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Document</w:t>
            </w:r>
          </w:p>
        </w:tc>
        <w:tc>
          <w:tcPr>
            <w:tcW w:type="dxa" w:w="6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EdgeASIC v5.0 Detailed Full-Scope Architecture Specification</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Supersedes</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EdgeASIC v4.8 Detailed Primary-Target Architecture Specification</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Revision</w:t>
            </w:r>
          </w:p>
        </w:tc>
        <w:tc>
          <w:tcPr>
            <w:tcW w:type="dxa" w:w="6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5.0</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Date</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17 August 2026</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Target network</w:t>
            </w:r>
          </w:p>
        </w:tc>
        <w:tc>
          <w:tcPr>
            <w:tcW w:type="dxa" w:w="6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YOLOv8n (changed from MobileNetV3-Minimalistic)</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Scope</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100% of the architecture specification. The v4.8 trim is withdrawn.</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Companion documents</w:t>
            </w:r>
          </w:p>
        </w:tc>
        <w:tc>
          <w:tcPr>
            <w:tcW w:type="dxa" w:w="6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EdgeASIC v5.0 36-Week Full-Scope Implementation Plan; EdgeASIC v5.0 RTL Implementation and Verification Specification; EdgeASIC v5.0 Architecture Change Register</w:t>
            </w:r>
          </w:p>
        </w:tc>
      </w:tr>
    </w:tbl>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This document is an architecture specification, not an RTL implementation guide. Module-level implementation contracts are in the companion RTL specification.</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It is intentionally strict about what is hardware, what is host software, and what evidence is required before a claim may be made.</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Status labels are: implemented and verified, primary target, addressing-only, and host software. The v4.8 "future scope" label is retired because the trim is withdrawn.</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Full-size PNG renders and the editable Mermaid source are supplied separately in the package for large-format printing.</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Every architectural change relative to v4.8 is enumerated in the companion Architecture Change Register and is not repeated exhaustively here.</w:t>
      </w:r>
    </w:p>
    <w:tbl>
      <w:tblPr>
        <w:tblW w:type="dxa" w:w="9360"/>
        <w:tblBorders>
          <w:top w:val="single" w:color="BF9000" w:sz="6"/>
          <w:left w:val="single" w:color="BF9000" w:sz="6"/>
          <w:bottom w:val="single" w:color="BF9000" w:sz="6"/>
          <w:right w:val="single" w:color="BF9000" w:sz="6"/>
          <w:insideH w:val="none"/>
          <w:insideV w:val="none"/>
        </w:tblBorders>
      </w:tblPr>
      <w:tblGrid>
        <w:gridCol w:w="9360"/>
      </w:tblGrid>
      <w:tr>
        <w:tc>
          <w:tcPr>
            <w:tcW w:type="dxa" w:w="9360"/>
            <w:shd w:fill="FFF2CC" w:color="auto" w:val="clear"/>
            <w:tcMar>
              <w:top w:type="dxa" w:w="110"/>
              <w:left w:type="dxa" w:w="150"/>
              <w:bottom w:type="dxa" w:w="110"/>
              <w:right w:type="dxa" w:w="150"/>
            </w:tcMar>
          </w:tcPr>
          <w:p>
            <w:pPr>
              <w:spacing w:after="70"/>
            </w:pPr>
            <w:r>
              <w:rPr>
                <w:rFonts w:ascii="Calibri" w:cs="Calibri" w:eastAsia="Calibri" w:hAnsi="Calibri"/>
                <w:b/>
                <w:bCs/>
                <w:i w:val="false"/>
                <w:iCs w:val="false"/>
                <w:color w:val="000000"/>
                <w:sz w:val="19"/>
                <w:szCs w:val="19"/>
              </w:rPr>
              <w:t xml:space="preserve">Full-scope clarification</w:t>
            </w:r>
          </w:p>
          <w:p>
            <w:pPr>
              <w:spacing w:after="40" w:before="40"/>
            </w:pPr>
            <w:r>
              <w:rPr>
                <w:rFonts w:ascii="Calibri" w:cs="Calibri" w:eastAsia="Calibri" w:hAnsi="Calibri"/>
                <w:b w:val="false"/>
                <w:bCs w:val="false"/>
                <w:i w:val="false"/>
                <w:iCs w:val="false"/>
                <w:color w:val="000000"/>
                <w:sz w:val="18"/>
                <w:szCs w:val="18"/>
              </w:rPr>
              <w:t xml:space="preserve">All blocks in this document are in scope for implementation within the 36-week plan. There is no deferred tier.</w:t>
            </w:r>
          </w:p>
          <w:p>
            <w:pPr>
              <w:spacing w:after="40" w:before="40"/>
            </w:pPr>
            <w:r>
              <w:rPr>
                <w:rFonts w:ascii="Calibri" w:cs="Calibri" w:eastAsia="Calibri" w:hAnsi="Calibri"/>
                <w:b w:val="false"/>
                <w:bCs w:val="false"/>
                <w:i w:val="false"/>
                <w:iCs w:val="false"/>
                <w:color w:val="000000"/>
                <w:sz w:val="18"/>
                <w:szCs w:val="18"/>
              </w:rPr>
              <w:t xml:space="preserve">A block is claimable as implemented only if a passing TC-ID exists at submission. Otherwise it is reported as partial, architecture-only, or host-side. Restoring full scope expands what may be attempted; it does not relax what may be claimed.</w:t>
            </w:r>
          </w:p>
        </w:tc>
      </w:tr>
    </w:tbl>
    <w:p>
      <w:pPr>
        <w:pStyle w:val="Heading2"/>
        <w:spacing w:after="100" w:before="220"/>
      </w:pPr>
      <w:r>
        <w:rPr>
          <w:rFonts w:ascii="Calibri" w:cs="Calibri" w:eastAsia="Calibri" w:hAnsi="Calibri"/>
          <w:b/>
          <w:bCs/>
          <w:color w:val="1F3864"/>
          <w:sz w:val="23"/>
          <w:szCs w:val="23"/>
        </w:rPr>
        <w:t xml:space="preserve">Version History and Corrections</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1200"/>
        <w:gridCol w:w="3400"/>
        <w:gridCol w:w="4760"/>
      </w:tblGrid>
      <w:tr>
        <w:trPr>
          <w:tblHeader/>
        </w:trPr>
        <w:tc>
          <w:tcPr>
            <w:tcW w:type="dxa" w:w="12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Version</w:t>
            </w:r>
          </w:p>
        </w:tc>
        <w:tc>
          <w:tcPr>
            <w:tcW w:type="dxa" w:w="34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Main purpose</w:t>
            </w:r>
          </w:p>
        </w:tc>
        <w:tc>
          <w:tcPr>
            <w:tcW w:type="dxa" w:w="47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Important correction</w:t>
            </w:r>
          </w:p>
        </w:tc>
      </w:tr>
      <w:tr>
        <w:trPr>
          <w:tblHeader w:val="false"/>
        </w:trPr>
        <w:tc>
          <w:tcPr>
            <w:tcW w:type="dxa" w:w="1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v4.4</w:t>
            </w:r>
          </w:p>
        </w:tc>
        <w:tc>
          <w:tcPr>
            <w:tcW w:type="dxa" w:w="3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Documentation cleanup</w:t>
            </w:r>
          </w:p>
        </w:tc>
        <w:tc>
          <w:tcPr>
            <w:tcW w:type="dxa" w:w="4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Fixed deadlocks, sticky errors, metadata separation.</w:t>
            </w:r>
          </w:p>
        </w:tc>
      </w:tr>
      <w:tr>
        <w:trPr>
          <w:tblHeader w:val="false"/>
        </w:trPr>
        <w:tc>
          <w:tcPr>
            <w:tcW w:type="dxa" w:w="1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v4.6</w:t>
            </w:r>
          </w:p>
        </w:tc>
        <w:tc>
          <w:tcPr>
            <w:tcW w:type="dxa" w:w="3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Interface tightening</w:t>
            </w:r>
          </w:p>
        </w:tc>
        <w:tc>
          <w:tcPr>
            <w:tcW w:type="dxa" w:w="4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Froze tensor layout and descriptor field set.</w:t>
            </w:r>
          </w:p>
        </w:tc>
      </w:tr>
      <w:tr>
        <w:trPr>
          <w:tblHeader w:val="false"/>
        </w:trPr>
        <w:tc>
          <w:tcPr>
            <w:tcW w:type="dxa" w:w="1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v4.8</w:t>
            </w:r>
          </w:p>
        </w:tc>
        <w:tc>
          <w:tcPr>
            <w:tcW w:type="dxa" w:w="3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Primary-target definition</w:t>
            </w:r>
          </w:p>
        </w:tc>
        <w:tc>
          <w:tcPr>
            <w:tcW w:type="dxa" w:w="4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Defined YOLOv8n primitive engines; introduced the 65% scope trim to protect the deadline.</w:t>
            </w:r>
          </w:p>
        </w:tc>
      </w:tr>
      <w:tr>
        <w:trPr>
          <w:tblHeader w:val="false"/>
        </w:trPr>
        <w:tc>
          <w:tcPr>
            <w:tcW w:type="dxa" w:w="1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v5.0</w:t>
            </w:r>
          </w:p>
        </w:tc>
        <w:tc>
          <w:tcPr>
            <w:tcW w:type="dxa" w:w="3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Full-scope restoration and retarget</w:t>
            </w:r>
          </w:p>
        </w:tc>
        <w:tc>
          <w:tcPr>
            <w:tcW w:type="dxa" w:w="4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(1) Target changed to YOLOv8n on utilization grounds. (2) Scope trim withdrawn after the three-bucket operator analysis showed concat/split/upsample are addressing work. (3) LUT-SiLU placement fixed by table-depth argument. (4) Characterisation (synthesis, area, power, utilization) added as a first-class architectural deliverable. (5) Throughput bound stated as a claim boundary rather than a results footnote.</w:t>
            </w:r>
          </w:p>
        </w:tc>
      </w:tr>
    </w:tbl>
    <w:p>
      <w:r>
        <w:br w:type="page"/>
      </w:r>
    </w:p>
    <w:p>
      <w:pPr>
        <w:pStyle w:val="Heading1"/>
        <w:spacing w:after="140" w:before="300"/>
      </w:pPr>
      <w:r>
        <w:rPr>
          <w:rFonts w:ascii="Calibri" w:cs="Calibri" w:eastAsia="Calibri" w:hAnsi="Calibri"/>
          <w:b/>
          <w:bCs/>
          <w:color w:val="1F3864"/>
          <w:sz w:val="30"/>
          <w:szCs w:val="30"/>
        </w:rPr>
        <w:t xml:space="preserve">Chapter 1 — Executive Architecture Summary</w:t>
      </w:r>
    </w:p>
    <w:p>
      <w:pPr>
        <w:spacing w:after="80" w:before="80"/>
        <w:jc w:val="left"/>
      </w:pPr>
      <w:r>
        <w:rPr>
          <w:rFonts w:ascii="Calibri" w:cs="Calibri" w:eastAsia="Calibri" w:hAnsi="Calibri"/>
          <w:b w:val="false"/>
          <w:bCs w:val="false"/>
          <w:i w:val="false"/>
          <w:iCs w:val="false"/>
          <w:color w:val="000000"/>
          <w:sz w:val="19"/>
          <w:szCs w:val="19"/>
        </w:rPr>
        <w:t xml:space="preserve">EdgeASIC v5.0 is a host-assisted INT8 accelerator architecture. It accelerates the compute-heavy layers of YOLOv8n while the host retains model-level orchestration, preprocessing, quantisation, detection decode and non-maximum suppression. The design is a hardware/software co-design and is presented as such; it is not a standalone image-to-boxes processor and does not claim to be one.</w:t>
      </w:r>
    </w:p>
    <w:p>
      <w:pPr>
        <w:spacing w:after="80" w:before="80"/>
        <w:jc w:val="left"/>
      </w:pPr>
      <w:r>
        <w:rPr>
          <w:rFonts w:ascii="Calibri" w:cs="Calibri" w:eastAsia="Calibri" w:hAnsi="Calibri"/>
          <w:b w:val="false"/>
          <w:bCs w:val="false"/>
          <w:i w:val="false"/>
          <w:iCs w:val="false"/>
          <w:color w:val="000000"/>
          <w:sz w:val="19"/>
          <w:szCs w:val="19"/>
        </w:rPr>
        <w:t xml:space="preserve">The compute foundation is an N=8, 8×8 INT8 weight-stationary systolic array performing dense Conv/GEMM tile computation. It drains skewed results through a Systolic Drain Deskew Unit, accumulates partial sums across K sub-tiles in an INT33 accumulator backed by 1R1W synchronous SRAM with read-after-write hazard bypass, then requantises to INT8 with HALF_UP rounding and saturation, and applies activation. This foundation is implemented and verified as of 17 August 2026.</w:t>
      </w:r>
    </w:p>
    <w:p>
      <w:pPr>
        <w:spacing w:after="80" w:before="80"/>
        <w:jc w:val="left"/>
      </w:pPr>
      <w:r>
        <w:rPr>
          <w:rFonts w:ascii="Calibri" w:cs="Calibri" w:eastAsia="Calibri" w:hAnsi="Calibri"/>
          <w:b w:val="false"/>
          <w:bCs w:val="false"/>
          <w:i w:val="false"/>
          <w:iCs w:val="false"/>
          <w:color w:val="000000"/>
          <w:sz w:val="19"/>
          <w:szCs w:val="19"/>
        </w:rPr>
        <w:t xml:space="preserve">v5.0 restores the complete extension set: Conv2D window generation with stride and padding, partial tile masking, LUT-SiLU activation, maxpool and SPPF pooling, elementwise residual addition, detect-head convolution, the Tensor Table, the descriptor ring, the graph scheduler with branch and rejoin, C2f block sequencing, DMA arbitration, interrupt logic and the full performance counter set. Tensor concatenation, splitting and nearest-neighbour upsampling are reclassified as addressing operations requiring no new datapath.</w:t>
      </w:r>
    </w:p>
    <w:p>
      <w:pPr>
        <w:spacing w:after="80" w:before="80"/>
        <w:jc w:val="left"/>
      </w:pPr>
      <w:r>
        <w:rPr>
          <w:rFonts w:ascii="Calibri" w:cs="Calibri" w:eastAsia="Calibri" w:hAnsi="Calibri"/>
          <w:b w:val="false"/>
          <w:bCs w:val="false"/>
          <w:i w:val="false"/>
          <w:iCs w:val="false"/>
          <w:color w:val="000000"/>
          <w:sz w:val="19"/>
          <w:szCs w:val="19"/>
        </w:rPr>
        <w:t xml:space="preserve">The decisive architectural insight of this revision is that operators partition into three attachment buckets — drain path, between-layer engine, and addressing only — and that the bucket, not the operator name, determines implementation cost. This is developed in Chapter 3 and is the organising principle for the entire implementation schedule.</w:t>
      </w:r>
    </w:p>
    <w:p>
      <w:pPr>
        <w:pStyle w:val="Heading2"/>
        <w:spacing w:after="100" w:before="220"/>
      </w:pPr>
      <w:r>
        <w:rPr>
          <w:rFonts w:ascii="Calibri" w:cs="Calibri" w:eastAsia="Calibri" w:hAnsi="Calibri"/>
          <w:b/>
          <w:bCs/>
          <w:color w:val="1F3864"/>
          <w:sz w:val="23"/>
          <w:szCs w:val="23"/>
        </w:rPr>
        <w:t xml:space="preserve">1.1 What Changed and Why</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400"/>
        <w:gridCol w:w="6960"/>
      </w:tblGrid>
      <w:tr>
        <w:trPr>
          <w:tblHeader/>
        </w:trPr>
        <w:tc>
          <w:tcPr>
            <w:tcW w:type="dxa" w:w="24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Change</w:t>
            </w:r>
          </w:p>
        </w:tc>
        <w:tc>
          <w:tcPr>
            <w:tcW w:type="dxa" w:w="69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Architectural justification</w:t>
            </w:r>
          </w:p>
        </w:tc>
      </w:tr>
      <w:tr>
        <w:trPr>
          <w:tblHeader w:val="false"/>
        </w:trPr>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Target network → YOLOv8n</w:t>
            </w:r>
          </w:p>
        </w:tc>
        <w:tc>
          <w:tcPr>
            <w:tcW w:type="dxa" w:w="6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MobileNetV3 is dominated by depthwise-separable convolution, which collapses to approximately 1/N utilization on a weight-stationary GEMM array. YOLOv8n uses standard 3×3 and 1×1 convolution throughout and maps directly onto the existing core with no new datapath.</w:t>
            </w:r>
          </w:p>
        </w:tc>
      </w:tr>
      <w:tr>
        <w:trPr>
          <w:tblHeader w:val="false"/>
        </w:trPr>
        <w:tc>
          <w:tcPr>
            <w:tcW w:type="dxa" w:w="2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Scope trim withdrawn</w:t>
            </w:r>
          </w:p>
        </w:tc>
        <w:tc>
          <w:tcPr>
            <w:tcW w:type="dxa" w:w="6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The trim priced concat, split and upsample as three engines. The three-bucket analysis establishes they are addressing operations. A substantial fraction of the trimmed scope was priced as datapath and is in fact free.</w:t>
            </w:r>
          </w:p>
        </w:tc>
      </w:tr>
      <w:tr>
        <w:trPr>
          <w:tblHeader w:val="false"/>
        </w:trPr>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LUT-SiLU after requantisation</w:t>
            </w:r>
          </w:p>
        </w:tc>
        <w:tc>
          <w:tcPr>
            <w:tcW w:type="dxa" w:w="6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Indexing the INT8 code requires 256 entries. Indexing the INT33 accumulator requires 2³³ entries — approximately 8.6 GB. The existing decision to apply activation after requantisation is therefore load-bearing.</w:t>
            </w:r>
          </w:p>
        </w:tc>
      </w:tr>
      <w:tr>
        <w:trPr>
          <w:tblHeader w:val="false"/>
        </w:trPr>
        <w:tc>
          <w:tcPr>
            <w:tcW w:type="dxa" w:w="2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Characterisation added</w:t>
            </w:r>
          </w:p>
        </w:tc>
        <w:tc>
          <w:tcPr>
            <w:tcW w:type="dxa" w:w="6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An ASIC architecture without gate count, critical path, area, power and utilization figures cannot answer the first question asked of it. Characterisation is treated as an architectural deliverable, not a reporting afterthought.</w:t>
            </w:r>
          </w:p>
        </w:tc>
      </w:tr>
      <w:tr>
        <w:trPr>
          <w:tblHeader w:val="false"/>
        </w:trPr>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Throughput stated as a boundary</w:t>
            </w:r>
          </w:p>
        </w:tc>
        <w:tc>
          <w:tcPr>
            <w:tcW w:type="dxa" w:w="6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The analytical frame time is derivable by any reader in one line of arithmetic. Stating it early is a credibility requirement, not a concession.</w:t>
            </w:r>
          </w:p>
        </w:tc>
      </w:tr>
    </w:tbl>
    <w:p>
      <w:r>
        <w:br w:type="page"/>
      </w:r>
    </w:p>
    <w:p>
      <w:pPr>
        <w:pStyle w:val="Heading1"/>
        <w:spacing w:after="140" w:before="300"/>
      </w:pPr>
      <w:r>
        <w:rPr>
          <w:rFonts w:ascii="Calibri" w:cs="Calibri" w:eastAsia="Calibri" w:hAnsi="Calibri"/>
          <w:b/>
          <w:bCs/>
          <w:color w:val="1F3864"/>
          <w:sz w:val="30"/>
          <w:szCs w:val="30"/>
        </w:rPr>
        <w:t xml:space="preserve">Chapter 2 — Scope Taxonomy and Full-Scope Matrix</w:t>
      </w:r>
    </w:p>
    <w:p>
      <w:pPr>
        <w:spacing w:after="80" w:before="80"/>
        <w:jc w:val="left"/>
      </w:pPr>
      <w:r>
        <w:rPr>
          <w:rFonts w:ascii="Calibri" w:cs="Calibri" w:eastAsia="Calibri" w:hAnsi="Calibri"/>
          <w:b w:val="false"/>
          <w:bCs w:val="false"/>
          <w:i w:val="false"/>
          <w:iCs w:val="false"/>
          <w:color w:val="000000"/>
          <w:sz w:val="19"/>
          <w:szCs w:val="19"/>
        </w:rPr>
        <w:t xml:space="preserve">The architecture uses four status labels. These labels must appear consistently across architecture, implementation, verification and presentation material. Inconsistent labelling between documents is treated as a defect.</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200"/>
        <w:gridCol w:w="3600"/>
        <w:gridCol w:w="3560"/>
      </w:tblGrid>
      <w:tr>
        <w:trPr>
          <w:tblHeader/>
        </w:trPr>
        <w:tc>
          <w:tcPr>
            <w:tcW w:type="dxa" w:w="22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Status label</w:t>
            </w:r>
          </w:p>
        </w:tc>
        <w:tc>
          <w:tcPr>
            <w:tcW w:type="dxa" w:w="36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Meaning</w:t>
            </w:r>
          </w:p>
        </w:tc>
        <w:tc>
          <w:tcPr>
            <w:tcW w:type="dxa" w:w="35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Claim rule</w:t>
            </w:r>
          </w:p>
        </w:tc>
      </w:tr>
      <w:tr>
        <w:trPr>
          <w:tblHeader w:val="false"/>
        </w:trPr>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Implemented and verified</w:t>
            </w:r>
          </w:p>
        </w:tc>
        <w:tc>
          <w:tcPr>
            <w:tcW w:type="dxa" w:w="3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Built and passing a directed TC-ID against the golden model as of this revision.</w:t>
            </w:r>
          </w:p>
        </w:tc>
        <w:tc>
          <w:tcPr>
            <w:tcW w:type="dxa" w:w="35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May be claimed without qualification.</w:t>
            </w:r>
          </w:p>
        </w:tc>
      </w:tr>
      <w:tr>
        <w:trPr>
          <w:tblHeader w:val="false"/>
        </w:trPr>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Primary target</w:t>
            </w:r>
          </w:p>
        </w:tc>
        <w:tc>
          <w:tcPr>
            <w:tcW w:type="dxa" w:w="3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Scheduled for implementation inside the 36-week plan with an assigned week and TC-ID.</w:t>
            </w:r>
          </w:p>
        </w:tc>
        <w:tc>
          <w:tcPr>
            <w:tcW w:type="dxa" w:w="35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May be claimed only once its TC-ID passes.</w:t>
            </w:r>
          </w:p>
        </w:tc>
      </w:tr>
      <w:tr>
        <w:trPr>
          <w:tblHeader w:val="false"/>
        </w:trPr>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Addressing only</w:t>
            </w:r>
          </w:p>
        </w:tc>
        <w:tc>
          <w:tcPr>
            <w:tcW w:type="dxa" w:w="3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Realised through descriptor base/offset arithmetic; no dedicated datapath.</w:t>
            </w:r>
          </w:p>
        </w:tc>
        <w:tc>
          <w:tcPr>
            <w:tcW w:type="dxa" w:w="35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Claimable as an operator, but must be described as addressing rather than as a compute engine.</w:t>
            </w:r>
          </w:p>
        </w:tc>
      </w:tr>
      <w:tr>
        <w:trPr>
          <w:tblHeader w:val="false"/>
        </w:trPr>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Host software</w:t>
            </w:r>
          </w:p>
        </w:tc>
        <w:tc>
          <w:tcPr>
            <w:tcW w:type="dxa" w:w="3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Executed on the host CPU by design.</w:t>
            </w:r>
          </w:p>
        </w:tc>
        <w:tc>
          <w:tcPr>
            <w:tcW w:type="dxa" w:w="35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Must never be described or diagrammed as hardware.</w:t>
            </w:r>
          </w:p>
        </w:tc>
      </w:tr>
    </w:tbl>
    <w:p>
      <w:pPr>
        <w:pStyle w:val="Heading2"/>
        <w:spacing w:after="100" w:before="220"/>
      </w:pPr>
      <w:r>
        <w:rPr>
          <w:rFonts w:ascii="Calibri" w:cs="Calibri" w:eastAsia="Calibri" w:hAnsi="Calibri"/>
          <w:b/>
          <w:bCs/>
          <w:color w:val="1F3864"/>
          <w:sz w:val="23"/>
          <w:szCs w:val="23"/>
        </w:rPr>
        <w:t xml:space="preserve">2.1 Full-Scope Feature Matrix</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500"/>
        <w:gridCol w:w="1900"/>
        <w:gridCol w:w="1500"/>
        <w:gridCol w:w="3460"/>
      </w:tblGrid>
      <w:tr>
        <w:trPr>
          <w:tblHeader/>
        </w:trPr>
        <w:tc>
          <w:tcPr>
            <w:tcW w:type="dxa" w:w="25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6"/>
                <w:szCs w:val="16"/>
              </w:rPr>
              <w:t xml:space="preserve">Feature</w:t>
            </w:r>
          </w:p>
        </w:tc>
        <w:tc>
          <w:tcPr>
            <w:tcW w:type="dxa" w:w="19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6"/>
                <w:szCs w:val="16"/>
              </w:rPr>
              <w:t xml:space="preserve">v5.0 status</w:t>
            </w:r>
          </w:p>
        </w:tc>
        <w:tc>
          <w:tcPr>
            <w:tcW w:type="dxa" w:w="15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6"/>
                <w:szCs w:val="16"/>
              </w:rPr>
              <w:t xml:space="preserve">Location</w:t>
            </w:r>
          </w:p>
        </w:tc>
        <w:tc>
          <w:tcPr>
            <w:tcW w:type="dxa" w:w="34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6"/>
                <w:szCs w:val="16"/>
              </w:rPr>
              <w:t xml:space="preserve">Architecture note</w:t>
            </w:r>
          </w:p>
        </w:tc>
      </w:tr>
      <w:tr>
        <w:trPr>
          <w:tblHeader w:val="false"/>
        </w:trPr>
        <w:tc>
          <w:tcPr>
            <w:tcW w:type="dxa" w:w="2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N=8 INT8 Conv/GEMM core</w:t>
            </w:r>
          </w:p>
        </w:tc>
        <w:tc>
          <w:tcPr>
            <w:tcW w:type="dxa" w:w="19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Implemented and verified</w:t>
            </w:r>
          </w:p>
        </w:tc>
        <w:tc>
          <w:tcPr>
            <w:tcW w:type="dxa" w:w="1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Hardware</w:t>
            </w:r>
          </w:p>
        </w:tc>
        <w:tc>
          <w:tcPr>
            <w:tcW w:type="dxa" w:w="34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64 PEs, weight-stationary, external accumulation.</w:t>
            </w:r>
          </w:p>
        </w:tc>
      </w:tr>
      <w:tr>
        <w:trPr>
          <w:tblHeader w:val="false"/>
        </w:trPr>
        <w:tc>
          <w:tcPr>
            <w:tcW w:type="dxa" w:w="25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SDDU deskew</w:t>
            </w:r>
          </w:p>
        </w:tc>
        <w:tc>
          <w:tcPr>
            <w:tcW w:type="dxa" w:w="19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Implemented and verified</w:t>
            </w:r>
          </w:p>
        </w:tc>
        <w:tc>
          <w:tcPr>
            <w:tcW w:type="dxa" w:w="15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Hardware</w:t>
            </w:r>
          </w:p>
        </w:tc>
        <w:tc>
          <w:tcPr>
            <w:tcW w:type="dxa" w:w="34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Lane c delayed by N−1−c enabled cycles; metadata pipeline matched.</w:t>
            </w:r>
          </w:p>
        </w:tc>
      </w:tr>
      <w:tr>
        <w:trPr>
          <w:tblHeader w:val="false"/>
        </w:trPr>
        <w:tc>
          <w:tcPr>
            <w:tcW w:type="dxa" w:w="2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INT33 accumulation</w:t>
            </w:r>
          </w:p>
        </w:tc>
        <w:tc>
          <w:tcPr>
            <w:tcW w:type="dxa" w:w="19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Implemented and verified</w:t>
            </w:r>
          </w:p>
        </w:tc>
        <w:tc>
          <w:tcPr>
            <w:tcW w:type="dxa" w:w="1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Hardware</w:t>
            </w:r>
          </w:p>
        </w:tc>
        <w:tc>
          <w:tcPr>
            <w:tcW w:type="dxa" w:w="34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1R1W synchronous SRAM, two-stage pipeline, RAW bypass.</w:t>
            </w:r>
          </w:p>
        </w:tc>
      </w:tr>
      <w:tr>
        <w:trPr>
          <w:tblHeader w:val="false"/>
        </w:trPr>
        <w:tc>
          <w:tcPr>
            <w:tcW w:type="dxa" w:w="25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Requantisation</w:t>
            </w:r>
          </w:p>
        </w:tc>
        <w:tc>
          <w:tcPr>
            <w:tcW w:type="dxa" w:w="19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Implemented and verified</w:t>
            </w:r>
          </w:p>
        </w:tc>
        <w:tc>
          <w:tcPr>
            <w:tcW w:type="dxa" w:w="15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Hardware</w:t>
            </w:r>
          </w:p>
        </w:tc>
        <w:tc>
          <w:tcPr>
            <w:tcW w:type="dxa" w:w="34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INT57 product, HALF_UP rounding, INT8 saturation.</w:t>
            </w:r>
          </w:p>
        </w:tc>
      </w:tr>
      <w:tr>
        <w:trPr>
          <w:tblHeader w:val="false"/>
        </w:trPr>
        <w:tc>
          <w:tcPr>
            <w:tcW w:type="dxa" w:w="2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ReLU / passthrough activation</w:t>
            </w:r>
          </w:p>
        </w:tc>
        <w:tc>
          <w:tcPr>
            <w:tcW w:type="dxa" w:w="19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Implemented and verified</w:t>
            </w:r>
          </w:p>
        </w:tc>
        <w:tc>
          <w:tcPr>
            <w:tcW w:type="dxa" w:w="1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Hardware</w:t>
            </w:r>
          </w:p>
        </w:tc>
        <w:tc>
          <w:tcPr>
            <w:tcW w:type="dxa" w:w="34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ACT_NONE and ACT_RELU.</w:t>
            </w:r>
          </w:p>
        </w:tc>
      </w:tr>
      <w:tr>
        <w:trPr>
          <w:tblHeader w:val="false"/>
        </w:trPr>
        <w:tc>
          <w:tcPr>
            <w:tcW w:type="dxa" w:w="25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CSR, descriptor manager, dispatcher</w:t>
            </w:r>
          </w:p>
        </w:tc>
        <w:tc>
          <w:tcPr>
            <w:tcW w:type="dxa" w:w="19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Implemented and verified</w:t>
            </w:r>
          </w:p>
        </w:tc>
        <w:tc>
          <w:tcPr>
            <w:tcW w:type="dxa" w:w="15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Hardware</w:t>
            </w:r>
          </w:p>
        </w:tc>
        <w:tc>
          <w:tcPr>
            <w:tcW w:type="dxa" w:w="34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Sticky errors and W1C clearing verified.</w:t>
            </w:r>
          </w:p>
        </w:tc>
      </w:tr>
      <w:tr>
        <w:trPr>
          <w:tblHeader w:val="false"/>
        </w:trPr>
        <w:tc>
          <w:tcPr>
            <w:tcW w:type="dxa" w:w="2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DMA master, read router, packing FIFO</w:t>
            </w:r>
          </w:p>
        </w:tc>
        <w:tc>
          <w:tcPr>
            <w:tcW w:type="dxa" w:w="19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Implemented and verified</w:t>
            </w:r>
          </w:p>
        </w:tc>
        <w:tc>
          <w:tcPr>
            <w:tcW w:type="dxa" w:w="1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Hardware</w:t>
            </w:r>
          </w:p>
        </w:tc>
        <w:tc>
          <w:tcPr>
            <w:tcW w:type="dxa" w:w="34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4 KB boundary guard rejects locally without issuing AXI.</w:t>
            </w:r>
          </w:p>
        </w:tc>
      </w:tr>
      <w:tr>
        <w:trPr>
          <w:tblHeader w:val="false"/>
        </w:trPr>
        <w:tc>
          <w:tcPr>
            <w:tcW w:type="dxa" w:w="25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Bank state controller</w:t>
            </w:r>
          </w:p>
        </w:tc>
        <w:tc>
          <w:tcPr>
            <w:tcW w:type="dxa" w:w="19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Implemented and verified</w:t>
            </w:r>
          </w:p>
        </w:tc>
        <w:tc>
          <w:tcPr>
            <w:tcW w:type="dxa" w:w="15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Hardware</w:t>
            </w:r>
          </w:p>
        </w:tc>
        <w:tc>
          <w:tcPr>
            <w:tcW w:type="dxa" w:w="34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VALID/CONSUMED ownership with collision detection.</w:t>
            </w:r>
          </w:p>
        </w:tc>
      </w:tr>
      <w:tr>
        <w:trPr>
          <w:tblHeader w:val="false"/>
        </w:trPr>
        <w:tc>
          <w:tcPr>
            <w:tcW w:type="dxa" w:w="2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Activation, weight, output SRAM</w:t>
            </w:r>
          </w:p>
        </w:tc>
        <w:tc>
          <w:tcPr>
            <w:tcW w:type="dxa" w:w="19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Implemented and verified</w:t>
            </w:r>
          </w:p>
        </w:tc>
        <w:tc>
          <w:tcPr>
            <w:tcW w:type="dxa" w:w="1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Hardware</w:t>
            </w:r>
          </w:p>
        </w:tc>
        <w:tc>
          <w:tcPr>
            <w:tcW w:type="dxa" w:w="34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Ping-pong banked.</w:t>
            </w:r>
          </w:p>
        </w:tc>
      </w:tr>
      <w:tr>
        <w:trPr>
          <w:tblHeader w:val="false"/>
        </w:trPr>
        <w:tc>
          <w:tcPr>
            <w:tcW w:type="dxa" w:w="25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Conv2D window generator</w:t>
            </w:r>
          </w:p>
        </w:tc>
        <w:tc>
          <w:tcPr>
            <w:tcW w:type="dxa" w:w="19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Primary target (Wk 1–2)</w:t>
            </w:r>
          </w:p>
        </w:tc>
        <w:tc>
          <w:tcPr>
            <w:tcW w:type="dxa" w:w="15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Hardware</w:t>
            </w:r>
          </w:p>
        </w:tc>
        <w:tc>
          <w:tcPr>
            <w:tcW w:type="dxa" w:w="34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1×1 and 3×3, stride 1 and 2, padding, NHWC addressing.</w:t>
            </w:r>
          </w:p>
        </w:tc>
      </w:tr>
      <w:tr>
        <w:trPr>
          <w:tblHeader w:val="false"/>
        </w:trPr>
        <w:tc>
          <w:tcPr>
            <w:tcW w:type="dxa" w:w="2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Tile sequencer</w:t>
            </w:r>
          </w:p>
        </w:tc>
        <w:tc>
          <w:tcPr>
            <w:tcW w:type="dxa" w:w="19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Primary target (Wk 1)</w:t>
            </w:r>
          </w:p>
        </w:tc>
        <w:tc>
          <w:tcPr>
            <w:tcW w:type="dxa" w:w="1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Hardware</w:t>
            </w:r>
          </w:p>
        </w:tc>
        <w:tc>
          <w:tcPr>
            <w:tcW w:type="dxa" w:w="34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Generates acc_addr and dynamic K_TILE_FIRST/LAST.</w:t>
            </w:r>
          </w:p>
        </w:tc>
      </w:tr>
      <w:tr>
        <w:trPr>
          <w:tblHeader w:val="false"/>
        </w:trPr>
        <w:tc>
          <w:tcPr>
            <w:tcW w:type="dxa" w:w="25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Partial tile masking</w:t>
            </w:r>
          </w:p>
        </w:tc>
        <w:tc>
          <w:tcPr>
            <w:tcW w:type="dxa" w:w="19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Primary target (Wk 2)</w:t>
            </w:r>
          </w:p>
        </w:tc>
        <w:tc>
          <w:tcPr>
            <w:tcW w:type="dxa" w:w="15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Hardware</w:t>
            </w:r>
          </w:p>
        </w:tc>
        <w:tc>
          <w:tcPr>
            <w:tcW w:type="dxa" w:w="34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lane_valid suppression on M/N edges.</w:t>
            </w:r>
          </w:p>
        </w:tc>
      </w:tr>
      <w:tr>
        <w:trPr>
          <w:tblHeader w:val="false"/>
        </w:trPr>
        <w:tc>
          <w:tcPr>
            <w:tcW w:type="dxa" w:w="2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LUT-SiLU activation</w:t>
            </w:r>
          </w:p>
        </w:tc>
        <w:tc>
          <w:tcPr>
            <w:tcW w:type="dxa" w:w="19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Primary target (Wk 4)</w:t>
            </w:r>
          </w:p>
        </w:tc>
        <w:tc>
          <w:tcPr>
            <w:tcW w:type="dxa" w:w="1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Hardware</w:t>
            </w:r>
          </w:p>
        </w:tc>
        <w:tc>
          <w:tcPr>
            <w:tcW w:type="dxa" w:w="34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256-entry table in SRAM, DMA-reloaded per layer.</w:t>
            </w:r>
          </w:p>
        </w:tc>
      </w:tr>
      <w:tr>
        <w:trPr>
          <w:tblHeader w:val="false"/>
        </w:trPr>
        <w:tc>
          <w:tcPr>
            <w:tcW w:type="dxa" w:w="25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Multi-layer chaining</w:t>
            </w:r>
          </w:p>
        </w:tc>
        <w:tc>
          <w:tcPr>
            <w:tcW w:type="dxa" w:w="19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Primary target (Wk 5–8)</w:t>
            </w:r>
          </w:p>
        </w:tc>
        <w:tc>
          <w:tcPr>
            <w:tcW w:type="dxa" w:w="15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Hardware</w:t>
            </w:r>
          </w:p>
        </w:tc>
        <w:tc>
          <w:tcPr>
            <w:tcW w:type="dxa" w:w="34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Layer-boundary handoff with no host intervention.</w:t>
            </w:r>
          </w:p>
        </w:tc>
      </w:tr>
      <w:tr>
        <w:trPr>
          <w:tblHeader w:val="false"/>
        </w:trPr>
        <w:tc>
          <w:tcPr>
            <w:tcW w:type="dxa" w:w="2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Maxpool / SPPF</w:t>
            </w:r>
          </w:p>
        </w:tc>
        <w:tc>
          <w:tcPr>
            <w:tcW w:type="dxa" w:w="19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Primary target (Wk 9)</w:t>
            </w:r>
          </w:p>
        </w:tc>
        <w:tc>
          <w:tcPr>
            <w:tcW w:type="dxa" w:w="1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Hardware</w:t>
            </w:r>
          </w:p>
        </w:tc>
        <w:tc>
          <w:tcPr>
            <w:tcW w:type="dxa" w:w="34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Compare tree; 2×2 and 5×5; repeated pooling.</w:t>
            </w:r>
          </w:p>
        </w:tc>
      </w:tr>
      <w:tr>
        <w:trPr>
          <w:tblHeader w:val="false"/>
        </w:trPr>
        <w:tc>
          <w:tcPr>
            <w:tcW w:type="dxa" w:w="25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Tensor concat</w:t>
            </w:r>
          </w:p>
        </w:tc>
        <w:tc>
          <w:tcPr>
            <w:tcW w:type="dxa" w:w="19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Addressing only (Wk 10)</w:t>
            </w:r>
          </w:p>
        </w:tc>
        <w:tc>
          <w:tcPr>
            <w:tcW w:type="dxa" w:w="15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Hardware addressing</w:t>
            </w:r>
          </w:p>
        </w:tc>
        <w:tc>
          <w:tcPr>
            <w:tcW w:type="dxa" w:w="34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Adjacent o_base writes.</w:t>
            </w:r>
          </w:p>
        </w:tc>
      </w:tr>
      <w:tr>
        <w:trPr>
          <w:tblHeader w:val="false"/>
        </w:trPr>
        <w:tc>
          <w:tcPr>
            <w:tcW w:type="dxa" w:w="2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Tensor split</w:t>
            </w:r>
          </w:p>
        </w:tc>
        <w:tc>
          <w:tcPr>
            <w:tcW w:type="dxa" w:w="19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Addressing only (Wk 10)</w:t>
            </w:r>
          </w:p>
        </w:tc>
        <w:tc>
          <w:tcPr>
            <w:tcW w:type="dxa" w:w="1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Hardware addressing</w:t>
            </w:r>
          </w:p>
        </w:tc>
        <w:tc>
          <w:tcPr>
            <w:tcW w:type="dxa" w:w="34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Base-plus-offset reads.</w:t>
            </w:r>
          </w:p>
        </w:tc>
      </w:tr>
      <w:tr>
        <w:trPr>
          <w:tblHeader w:val="false"/>
        </w:trPr>
        <w:tc>
          <w:tcPr>
            <w:tcW w:type="dxa" w:w="25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Nearest upsample</w:t>
            </w:r>
          </w:p>
        </w:tc>
        <w:tc>
          <w:tcPr>
            <w:tcW w:type="dxa" w:w="19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Addressing only (Wk 10)</w:t>
            </w:r>
          </w:p>
        </w:tc>
        <w:tc>
          <w:tcPr>
            <w:tcW w:type="dxa" w:w="15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Hardware addressing</w:t>
            </w:r>
          </w:p>
        </w:tc>
        <w:tc>
          <w:tcPr>
            <w:tcW w:type="dxa" w:w="34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Read-address repeat pattern.</w:t>
            </w:r>
          </w:p>
        </w:tc>
      </w:tr>
      <w:tr>
        <w:trPr>
          <w:tblHeader w:val="false"/>
        </w:trPr>
        <w:tc>
          <w:tcPr>
            <w:tcW w:type="dxa" w:w="2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Tensor Table</w:t>
            </w:r>
          </w:p>
        </w:tc>
        <w:tc>
          <w:tcPr>
            <w:tcW w:type="dxa" w:w="19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Primary target (Wk 11)</w:t>
            </w:r>
          </w:p>
        </w:tc>
        <w:tc>
          <w:tcPr>
            <w:tcW w:type="dxa" w:w="1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Hardware</w:t>
            </w:r>
          </w:p>
        </w:tc>
        <w:tc>
          <w:tcPr>
            <w:tcW w:type="dxa" w:w="34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tensor_id to base/shape/stride with lifetime tracking.</w:t>
            </w:r>
          </w:p>
        </w:tc>
      </w:tr>
      <w:tr>
        <w:trPr>
          <w:tblHeader w:val="false"/>
        </w:trPr>
        <w:tc>
          <w:tcPr>
            <w:tcW w:type="dxa" w:w="25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Descriptor ring</w:t>
            </w:r>
          </w:p>
        </w:tc>
        <w:tc>
          <w:tcPr>
            <w:tcW w:type="dxa" w:w="19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Primary target (Wk 6)</w:t>
            </w:r>
          </w:p>
        </w:tc>
        <w:tc>
          <w:tcPr>
            <w:tcW w:type="dxa" w:w="15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Hardware</w:t>
            </w:r>
          </w:p>
        </w:tc>
        <w:tc>
          <w:tcPr>
            <w:tcW w:type="dxa" w:w="34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Push/pop/full/empty/wrap.</w:t>
            </w:r>
          </w:p>
        </w:tc>
      </w:tr>
      <w:tr>
        <w:trPr>
          <w:tblHeader w:val="false"/>
        </w:trPr>
        <w:tc>
          <w:tcPr>
            <w:tcW w:type="dxa" w:w="2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Graph scheduler</w:t>
            </w:r>
          </w:p>
        </w:tc>
        <w:tc>
          <w:tcPr>
            <w:tcW w:type="dxa" w:w="19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Primary target (Wk 12–13)</w:t>
            </w:r>
          </w:p>
        </w:tc>
        <w:tc>
          <w:tcPr>
            <w:tcW w:type="dxa" w:w="1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Hardware</w:t>
            </w:r>
          </w:p>
        </w:tc>
        <w:tc>
          <w:tcPr>
            <w:tcW w:type="dxa" w:w="34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In-order issue, dependency tracking, branch and rejoin.</w:t>
            </w:r>
          </w:p>
        </w:tc>
      </w:tr>
      <w:tr>
        <w:trPr>
          <w:tblHeader w:val="false"/>
        </w:trPr>
        <w:tc>
          <w:tcPr>
            <w:tcW w:type="dxa" w:w="25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C2f block sequencer</w:t>
            </w:r>
          </w:p>
        </w:tc>
        <w:tc>
          <w:tcPr>
            <w:tcW w:type="dxa" w:w="19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Primary target (Wk 14)</w:t>
            </w:r>
          </w:p>
        </w:tc>
        <w:tc>
          <w:tcPr>
            <w:tcW w:type="dxa" w:w="15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Hardware</w:t>
            </w:r>
          </w:p>
        </w:tc>
        <w:tc>
          <w:tcPr>
            <w:tcW w:type="dxa" w:w="34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Split, n bottlenecks, concat, conv.</w:t>
            </w:r>
          </w:p>
        </w:tc>
      </w:tr>
      <w:tr>
        <w:trPr>
          <w:tblHeader w:val="false"/>
        </w:trPr>
        <w:tc>
          <w:tcPr>
            <w:tcW w:type="dxa" w:w="2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Elementwise / residual add</w:t>
            </w:r>
          </w:p>
        </w:tc>
        <w:tc>
          <w:tcPr>
            <w:tcW w:type="dxa" w:w="19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Primary target (Wk 15)</w:t>
            </w:r>
          </w:p>
        </w:tc>
        <w:tc>
          <w:tcPr>
            <w:tcW w:type="dxa" w:w="1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Hardware</w:t>
            </w:r>
          </w:p>
        </w:tc>
        <w:tc>
          <w:tcPr>
            <w:tcW w:type="dxa" w:w="34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Dual-scale INT8 rescaling.</w:t>
            </w:r>
          </w:p>
        </w:tc>
      </w:tr>
      <w:tr>
        <w:trPr>
          <w:tblHeader w:val="false"/>
        </w:trPr>
        <w:tc>
          <w:tcPr>
            <w:tcW w:type="dxa" w:w="25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Detect head convolution</w:t>
            </w:r>
          </w:p>
        </w:tc>
        <w:tc>
          <w:tcPr>
            <w:tcW w:type="dxa" w:w="19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Primary target (Wk 16)</w:t>
            </w:r>
          </w:p>
        </w:tc>
        <w:tc>
          <w:tcPr>
            <w:tcW w:type="dxa" w:w="15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Hardware</w:t>
            </w:r>
          </w:p>
        </w:tc>
        <w:tc>
          <w:tcPr>
            <w:tcW w:type="dxa" w:w="34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Three scales, raw tensor export.</w:t>
            </w:r>
          </w:p>
        </w:tc>
      </w:tr>
      <w:tr>
        <w:trPr>
          <w:tblHeader w:val="false"/>
        </w:trPr>
        <w:tc>
          <w:tcPr>
            <w:tcW w:type="dxa" w:w="2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DMA arbiter</w:t>
            </w:r>
          </w:p>
        </w:tc>
        <w:tc>
          <w:tcPr>
            <w:tcW w:type="dxa" w:w="19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Primary target (Wk 17)</w:t>
            </w:r>
          </w:p>
        </w:tc>
        <w:tc>
          <w:tcPr>
            <w:tcW w:type="dxa" w:w="1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Hardware</w:t>
            </w:r>
          </w:p>
        </w:tc>
        <w:tc>
          <w:tcPr>
            <w:tcW w:type="dxa" w:w="34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Prefetch versus writeback priority.</w:t>
            </w:r>
          </w:p>
        </w:tc>
      </w:tr>
      <w:tr>
        <w:trPr>
          <w:tblHeader w:val="false"/>
        </w:trPr>
        <w:tc>
          <w:tcPr>
            <w:tcW w:type="dxa" w:w="25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Interrupt logic</w:t>
            </w:r>
          </w:p>
        </w:tc>
        <w:tc>
          <w:tcPr>
            <w:tcW w:type="dxa" w:w="19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Primary target (Wk 18)</w:t>
            </w:r>
          </w:p>
        </w:tc>
        <w:tc>
          <w:tcPr>
            <w:tcW w:type="dxa" w:w="15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Hardware</w:t>
            </w:r>
          </w:p>
        </w:tc>
        <w:tc>
          <w:tcPr>
            <w:tcW w:type="dxa" w:w="34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Done, error and performance events.</w:t>
            </w:r>
          </w:p>
        </w:tc>
      </w:tr>
      <w:tr>
        <w:trPr>
          <w:tblHeader w:val="false"/>
        </w:trPr>
        <w:tc>
          <w:tcPr>
            <w:tcW w:type="dxa" w:w="2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Performance counters</w:t>
            </w:r>
          </w:p>
        </w:tc>
        <w:tc>
          <w:tcPr>
            <w:tcW w:type="dxa" w:w="19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Primary target (Wk 8, 18)</w:t>
            </w:r>
          </w:p>
        </w:tc>
        <w:tc>
          <w:tcPr>
            <w:tcW w:type="dxa" w:w="1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Hardware</w:t>
            </w:r>
          </w:p>
        </w:tc>
        <w:tc>
          <w:tcPr>
            <w:tcW w:type="dxa" w:w="34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Total, compute, DMA-wait, stall, writeback, MAC-active.</w:t>
            </w:r>
          </w:p>
        </w:tc>
      </w:tr>
      <w:tr>
        <w:trPr>
          <w:tblHeader w:val="false"/>
        </w:trPr>
        <w:tc>
          <w:tcPr>
            <w:tcW w:type="dxa" w:w="25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Synthesis, area, power, utilization</w:t>
            </w:r>
          </w:p>
        </w:tc>
        <w:tc>
          <w:tcPr>
            <w:tcW w:type="dxa" w:w="19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Primary target (Wk 25–28)</w:t>
            </w:r>
          </w:p>
        </w:tc>
        <w:tc>
          <w:tcPr>
            <w:tcW w:type="dxa" w:w="15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Tooling</w:t>
            </w:r>
          </w:p>
        </w:tc>
        <w:tc>
          <w:tcPr>
            <w:tcW w:type="dxa" w:w="34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Gate count, f_max, mm², mW, per-layer utilization.</w:t>
            </w:r>
          </w:p>
        </w:tc>
      </w:tr>
      <w:tr>
        <w:trPr>
          <w:tblHeader w:val="false"/>
        </w:trPr>
        <w:tc>
          <w:tcPr>
            <w:tcW w:type="dxa" w:w="2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Detection decode</w:t>
            </w:r>
          </w:p>
        </w:tc>
        <w:tc>
          <w:tcPr>
            <w:tcW w:type="dxa" w:w="19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Host software</w:t>
            </w:r>
          </w:p>
        </w:tc>
        <w:tc>
          <w:tcPr>
            <w:tcW w:type="dxa" w:w="1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Host</w:t>
            </w:r>
          </w:p>
        </w:tc>
        <w:tc>
          <w:tcPr>
            <w:tcW w:type="dxa" w:w="34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Never hardware in this revision.</w:t>
            </w:r>
          </w:p>
        </w:tc>
      </w:tr>
      <w:tr>
        <w:trPr>
          <w:tblHeader w:val="false"/>
        </w:trPr>
        <w:tc>
          <w:tcPr>
            <w:tcW w:type="dxa" w:w="25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Non-maximum suppression</w:t>
            </w:r>
          </w:p>
        </w:tc>
        <w:tc>
          <w:tcPr>
            <w:tcW w:type="dxa" w:w="19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Host software</w:t>
            </w:r>
          </w:p>
        </w:tc>
        <w:tc>
          <w:tcPr>
            <w:tcW w:type="dxa" w:w="15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Host</w:t>
            </w:r>
          </w:p>
        </w:tc>
        <w:tc>
          <w:tcPr>
            <w:tcW w:type="dxa" w:w="34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Never hardware in this revision.</w:t>
            </w:r>
          </w:p>
        </w:tc>
      </w:tr>
      <w:tr>
        <w:trPr>
          <w:tblHeader w:val="false"/>
        </w:trPr>
        <w:tc>
          <w:tcPr>
            <w:tcW w:type="dxa" w:w="2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Confidence filtering and drawing</w:t>
            </w:r>
          </w:p>
        </w:tc>
        <w:tc>
          <w:tcPr>
            <w:tcW w:type="dxa" w:w="19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Host software</w:t>
            </w:r>
          </w:p>
        </w:tc>
        <w:tc>
          <w:tcPr>
            <w:tcW w:type="dxa" w:w="1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Host</w:t>
            </w:r>
          </w:p>
        </w:tc>
        <w:tc>
          <w:tcPr>
            <w:tcW w:type="dxa" w:w="34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Presentation layer.</w:t>
            </w:r>
          </w:p>
        </w:tc>
      </w:tr>
    </w:tbl>
    <w:p>
      <w:r>
        <w:br w:type="page"/>
      </w:r>
    </w:p>
    <w:p>
      <w:pPr>
        <w:pStyle w:val="Heading1"/>
        <w:spacing w:after="140" w:before="300"/>
      </w:pPr>
      <w:r>
        <w:rPr>
          <w:rFonts w:ascii="Calibri" w:cs="Calibri" w:eastAsia="Calibri" w:hAnsi="Calibri"/>
          <w:b/>
          <w:bCs/>
          <w:color w:val="1F3864"/>
          <w:sz w:val="30"/>
          <w:szCs w:val="30"/>
        </w:rPr>
        <w:t xml:space="preserve">Chapter 3 — Operator Attachment Buckets</w:t>
      </w:r>
    </w:p>
    <w:p>
      <w:pPr>
        <w:spacing w:after="80" w:before="80"/>
        <w:jc w:val="left"/>
      </w:pPr>
      <w:r>
        <w:rPr>
          <w:rFonts w:ascii="Calibri" w:cs="Calibri" w:eastAsia="Calibri" w:hAnsi="Calibri"/>
          <w:b w:val="false"/>
          <w:bCs w:val="false"/>
          <w:i w:val="false"/>
          <w:iCs w:val="false"/>
          <w:color w:val="000000"/>
          <w:sz w:val="19"/>
          <w:szCs w:val="19"/>
        </w:rPr>
        <w:t xml:space="preserve">This chapter is new in v5.0 and is the most consequential section of the specification. Every operator in a convolutional detection network attaches to the compute spine in exactly one of three ways. The attachment bucket determines whether the operator costs a datapath block, a between-layer engine, or nothing but descriptor arithmetic. Classifying operators by bucket before scheduling them is what allows full scope to fit inside the remaining project window.</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200"/>
        <w:gridCol w:w="2600"/>
        <w:gridCol w:w="4560"/>
      </w:tblGrid>
      <w:tr>
        <w:trPr>
          <w:tblHeader/>
        </w:trPr>
        <w:tc>
          <w:tcPr>
            <w:tcW w:type="dxa" w:w="22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Bucket</w:t>
            </w:r>
          </w:p>
        </w:tc>
        <w:tc>
          <w:tcPr>
            <w:tcW w:type="dxa" w:w="26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Definition</w:t>
            </w:r>
          </w:p>
        </w:tc>
        <w:tc>
          <w:tcPr>
            <w:tcW w:type="dxa" w:w="45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Cost profile</w:t>
            </w:r>
          </w:p>
        </w:tc>
      </w:tr>
      <w:tr>
        <w:trPr>
          <w:tblHeader w:val="false"/>
        </w:trPr>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Drain path (in-line)</w:t>
            </w:r>
          </w:p>
        </w:tc>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Touches every output element as it emerges from the compute pipeline. Cannot tolerate a round-trip to memory or to the host.</w:t>
            </w:r>
          </w:p>
        </w:tc>
        <w:tc>
          <w:tcPr>
            <w:tcW w:type="dxa" w:w="45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One datapath block plus its parameter storage. Cost is area, not cycles.</w:t>
            </w:r>
          </w:p>
        </w:tc>
      </w:tr>
      <w:tr>
        <w:trPr>
          <w:tblHeader w:val="false"/>
        </w:trPr>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Between-layer engine</w:t>
            </w:r>
          </w:p>
        </w:tc>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Requires a completed tensor resident in SRAM before it can produce its first output.</w:t>
            </w:r>
          </w:p>
        </w:tc>
        <w:tc>
          <w:tcPr>
            <w:tcW w:type="dxa" w:w="45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One engine with its own address generation and sequencing, plus an SRAM pass.</w:t>
            </w:r>
          </w:p>
        </w:tc>
      </w:tr>
      <w:tr>
        <w:trPr>
          <w:tblHeader w:val="false"/>
        </w:trPr>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Addressing only</w:t>
            </w:r>
          </w:p>
        </w:tc>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Changes where data is read from or written to, without transforming values.</w:t>
            </w:r>
          </w:p>
        </w:tc>
        <w:tc>
          <w:tcPr>
            <w:tcW w:type="dxa" w:w="45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Descriptor field encoding. No datapath, no additional cycles.</w:t>
            </w:r>
          </w:p>
        </w:tc>
      </w:tr>
    </w:tbl>
    <w:p>
      <w:pPr>
        <w:pStyle w:val="Heading2"/>
        <w:spacing w:after="100" w:before="220"/>
      </w:pPr>
      <w:r>
        <w:rPr>
          <w:rFonts w:ascii="Calibri" w:cs="Calibri" w:eastAsia="Calibri" w:hAnsi="Calibri"/>
          <w:b/>
          <w:bCs/>
          <w:color w:val="1F3864"/>
          <w:sz w:val="23"/>
          <w:szCs w:val="23"/>
        </w:rPr>
        <w:t xml:space="preserve">3.1 Classification of the YOLOv8n Operator Set</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000"/>
        <w:gridCol w:w="2000"/>
        <w:gridCol w:w="5360"/>
      </w:tblGrid>
      <w:tr>
        <w:trPr>
          <w:tblHeader/>
        </w:trPr>
        <w:tc>
          <w:tcPr>
            <w:tcW w:type="dxa" w:w="20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6"/>
                <w:szCs w:val="16"/>
              </w:rPr>
              <w:t xml:space="preserve">Operator</w:t>
            </w:r>
          </w:p>
        </w:tc>
        <w:tc>
          <w:tcPr>
            <w:tcW w:type="dxa" w:w="20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6"/>
                <w:szCs w:val="16"/>
              </w:rPr>
              <w:t xml:space="preserve">Bucket</w:t>
            </w:r>
          </w:p>
        </w:tc>
        <w:tc>
          <w:tcPr>
            <w:tcW w:type="dxa" w:w="53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6"/>
                <w:szCs w:val="16"/>
              </w:rPr>
              <w:t xml:space="preserve">Justification</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Conv 3×3 / 1×1</w:t>
            </w:r>
          </w:p>
        </w:tc>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Compute core</w:t>
            </w:r>
          </w:p>
        </w:tc>
        <w:tc>
          <w:tcPr>
            <w:tcW w:type="dxa" w:w="5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Tiled GEMM. Already implemented.</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Requantisation</w:t>
            </w:r>
          </w:p>
        </w:tc>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Drain path</w:t>
            </w:r>
          </w:p>
        </w:tc>
        <w:tc>
          <w:tcPr>
            <w:tcW w:type="dxa" w:w="5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Already implemented.</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ReLU</w:t>
            </w:r>
          </w:p>
        </w:tc>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Drain path</w:t>
            </w:r>
          </w:p>
        </w:tc>
        <w:tc>
          <w:tcPr>
            <w:tcW w:type="dxa" w:w="5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Already implemented.</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SiLU</w:t>
            </w:r>
          </w:p>
        </w:tc>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Drain path</w:t>
            </w:r>
          </w:p>
        </w:tc>
        <w:tc>
          <w:tcPr>
            <w:tcW w:type="dxa" w:w="5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Per-element. A host implementation would round-trip every activation tensor between layers and destroy layer chaining, which is the property that makes the accumulator and requantisation pipeline worth having.</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Residual add</w:t>
            </w:r>
          </w:p>
        </w:tc>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Drain path</w:t>
            </w:r>
          </w:p>
        </w:tc>
        <w:tc>
          <w:tcPr>
            <w:tcW w:type="dxa" w:w="5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Per-element, applied at the drain with a second operand streamed from residual SRAM.</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Maxpool / SPPF</w:t>
            </w:r>
          </w:p>
        </w:tc>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Between-layer engine</w:t>
            </w:r>
          </w:p>
        </w:tc>
        <w:tc>
          <w:tcPr>
            <w:tcW w:type="dxa" w:w="5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 5×5 pooling window requires 25 spatially distributed elements. It cannot consume the drain stream because those elements are not co-resident in it.</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Concat</w:t>
            </w:r>
          </w:p>
        </w:tc>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Addressing only</w:t>
            </w:r>
          </w:p>
        </w:tc>
        <w:tc>
          <w:tcPr>
            <w:tcW w:type="dxa" w:w="5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Two convolutions writing adjacent regions of one output buffer constitute a concatenation. The operation exists entirely in the choice of o_base.</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Split</w:t>
            </w:r>
          </w:p>
        </w:tc>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Addressing only</w:t>
            </w:r>
          </w:p>
        </w:tc>
        <w:tc>
          <w:tcPr>
            <w:tcW w:type="dxa" w:w="5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 base-plus-offset read. A tensor view, not a data movement.</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Upsample (nearest)</w:t>
            </w:r>
          </w:p>
        </w:tc>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Addressing only</w:t>
            </w:r>
          </w:p>
        </w:tc>
        <w:tc>
          <w:tcPr>
            <w:tcW w:type="dxa" w:w="5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Each input element is read multiple times according to a fixed pattern. This is address sequencing, not arithmetic.</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Detect head conv</w:t>
            </w:r>
          </w:p>
        </w:tc>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Compute core + sequencing</w:t>
            </w:r>
          </w:p>
        </w:tc>
        <w:tc>
          <w:tcPr>
            <w:tcW w:type="dxa" w:w="5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Standard convolution at three scales; the novelty is descriptor sequencing, not datapath.</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Decode / NMS</w:t>
            </w:r>
          </w:p>
        </w:tc>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Host software</w:t>
            </w:r>
          </w:p>
        </w:tc>
        <w:tc>
          <w:tcPr>
            <w:tcW w:type="dxa" w:w="5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Irregular control flow, low arithmetic density, poor systolic fit.</w:t>
            </w:r>
          </w:p>
        </w:tc>
      </w:tr>
    </w:tbl>
    <w:tbl>
      <w:tblPr>
        <w:tblW w:type="dxa" w:w="9360"/>
        <w:tblBorders>
          <w:top w:val="single" w:color="BF9000" w:sz="6"/>
          <w:left w:val="single" w:color="BF9000" w:sz="6"/>
          <w:bottom w:val="single" w:color="BF9000" w:sz="6"/>
          <w:right w:val="single" w:color="BF9000" w:sz="6"/>
          <w:insideH w:val="none"/>
          <w:insideV w:val="none"/>
        </w:tblBorders>
      </w:tblPr>
      <w:tblGrid>
        <w:gridCol w:w="9360"/>
      </w:tblGrid>
      <w:tr>
        <w:tc>
          <w:tcPr>
            <w:tcW w:type="dxa" w:w="9360"/>
            <w:shd w:fill="FFF2CC" w:color="auto" w:val="clear"/>
            <w:tcMar>
              <w:top w:type="dxa" w:w="110"/>
              <w:left w:type="dxa" w:w="150"/>
              <w:bottom w:type="dxa" w:w="110"/>
              <w:right w:type="dxa" w:w="150"/>
            </w:tcMar>
          </w:tcPr>
          <w:p>
            <w:pPr>
              <w:spacing w:after="70"/>
            </w:pPr>
            <w:r>
              <w:rPr>
                <w:rFonts w:ascii="Calibri" w:cs="Calibri" w:eastAsia="Calibri" w:hAnsi="Calibri"/>
                <w:b/>
                <w:bCs/>
                <w:i w:val="false"/>
                <w:iCs w:val="false"/>
                <w:color w:val="000000"/>
                <w:sz w:val="19"/>
                <w:szCs w:val="19"/>
              </w:rPr>
              <w:t xml:space="preserve">Verification requirement for the addressing claim</w:t>
            </w:r>
          </w:p>
          <w:p>
            <w:pPr>
              <w:spacing w:after="40" w:before="40"/>
            </w:pPr>
            <w:r>
              <w:rPr>
                <w:rFonts w:ascii="Calibri" w:cs="Calibri" w:eastAsia="Calibri" w:hAnsi="Calibri"/>
                <w:b w:val="false"/>
                <w:bCs w:val="false"/>
                <w:i w:val="false"/>
                <w:iCs w:val="false"/>
                <w:color w:val="000000"/>
                <w:sz w:val="18"/>
                <w:szCs w:val="18"/>
              </w:rPr>
              <w:t xml:space="preserve">The classification of concat, split and upsample as addressing-only is an architectural claim and must be tested, not assumed.</w:t>
            </w:r>
          </w:p>
          <w:p>
            <w:pPr>
              <w:spacing w:after="40" w:before="40"/>
            </w:pPr>
            <w:r>
              <w:rPr>
                <w:rFonts w:ascii="Calibri" w:cs="Calibri" w:eastAsia="Calibri" w:hAnsi="Calibri"/>
                <w:b w:val="false"/>
                <w:bCs w:val="false"/>
                <w:i w:val="false"/>
                <w:iCs w:val="false"/>
                <w:color w:val="000000"/>
                <w:sz w:val="18"/>
                <w:szCs w:val="18"/>
              </w:rPr>
              <w:t xml:space="preserve">Week 10 of the implementation plan tests it explicitly with TC-CAT-001, TC-SPLIT-001 and TC-UP-001. If the descriptor cannot express the required base and offset arithmetic, the gap is escalated as a descriptor defect and absorbed by the control-plane phase, which carries the most slack.</w:t>
            </w:r>
          </w:p>
        </w:tc>
      </w:tr>
    </w:tbl>
    <w:p>
      <w:pPr>
        <w:pStyle w:val="Heading2"/>
        <w:spacing w:after="100" w:before="220"/>
      </w:pPr>
      <w:r>
        <w:rPr>
          <w:rFonts w:ascii="Calibri" w:cs="Calibri" w:eastAsia="Calibri" w:hAnsi="Calibri"/>
          <w:b/>
          <w:bCs/>
          <w:color w:val="1F3864"/>
          <w:sz w:val="23"/>
          <w:szCs w:val="23"/>
        </w:rPr>
        <w:t xml:space="preserve">3.2 Arithmetic Distribution Justifying the Partition</w:t>
      </w:r>
    </w:p>
    <w:p>
      <w:pPr>
        <w:spacing w:after="80" w:before="80"/>
        <w:jc w:val="left"/>
      </w:pPr>
      <w:r>
        <w:rPr>
          <w:rFonts w:ascii="Calibri" w:cs="Calibri" w:eastAsia="Calibri" w:hAnsi="Calibri"/>
          <w:b w:val="false"/>
          <w:bCs w:val="false"/>
          <w:i w:val="false"/>
          <w:iCs w:val="false"/>
          <w:color w:val="000000"/>
          <w:sz w:val="19"/>
          <w:szCs w:val="19"/>
        </w:rPr>
        <w:t xml:space="preserve">The hardware/software partition is defended on arithmetic distribution rather than convenience. Split, concat and upsample perform zero multiply-accumulate operations; pooling performs comparisons rather than multiplications; SiLU is one transcendental per output element and is elementwise rather than quadratic in channel count. Convolution accounts for essentially all of the arithmetic. Consequently the hardware executes over 95% of YOLOv8n multiply-accumulate operations under this architecture, and the host performs tensor bookkeeping.</w:t>
      </w:r>
    </w:p>
    <w:p>
      <w:r>
        <w:br w:type="page"/>
      </w:r>
    </w:p>
    <w:p>
      <w:pPr>
        <w:pStyle w:val="Heading1"/>
        <w:spacing w:after="140" w:before="300"/>
      </w:pPr>
      <w:r>
        <w:rPr>
          <w:rFonts w:ascii="Calibri" w:cs="Calibri" w:eastAsia="Calibri" w:hAnsi="Calibri"/>
          <w:b/>
          <w:bCs/>
          <w:color w:val="1F3864"/>
          <w:sz w:val="30"/>
          <w:szCs w:val="30"/>
        </w:rPr>
        <w:t xml:space="preserve">Chapter 4 — Detailed Architecture Diagrams</w:t>
      </w:r>
    </w:p>
    <w:p>
      <w:pPr>
        <w:spacing w:after="80" w:before="80"/>
        <w:jc w:val="left"/>
      </w:pPr>
      <w:r>
        <w:rPr>
          <w:rFonts w:ascii="Calibri" w:cs="Calibri" w:eastAsia="Calibri" w:hAnsi="Calibri"/>
          <w:b w:val="false"/>
          <w:bCs w:val="false"/>
          <w:i w:val="false"/>
          <w:iCs w:val="false"/>
          <w:color w:val="000000"/>
          <w:sz w:val="19"/>
          <w:szCs w:val="19"/>
        </w:rPr>
        <w:t xml:space="preserve">This chapter provides a system-level master map and three focused subsystem views. Full-size PNG files and the editable Mermaid source are supplied separately so they can be printed at poster scale or edited without reopening this document.</w:t>
      </w:r>
    </w:p>
    <w:p>
      <w:pPr>
        <w:pStyle w:val="Heading2"/>
        <w:spacing w:after="100" w:before="220"/>
      </w:pPr>
      <w:r>
        <w:rPr>
          <w:rFonts w:ascii="Calibri" w:cs="Calibri" w:eastAsia="Calibri" w:hAnsi="Calibri"/>
          <w:b/>
          <w:bCs/>
          <w:color w:val="1F3864"/>
          <w:sz w:val="23"/>
          <w:szCs w:val="23"/>
        </w:rPr>
        <w:t xml:space="preserve">Figure 1 — Master Architecture Map</w:t>
      </w:r>
    </w:p>
    <w:p>
      <w:pPr>
        <w:spacing w:after="60" w:before="160"/>
        <w:jc w:val="center"/>
      </w:pPr>
      <w:r>
        <w:drawing>
          <wp:inline distT="0" distB="0" distL="0" distR="0">
            <wp:extent cx="6096000" cy="767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7677150"/>
                    </a:xfrm>
                    <a:prstGeom prst="rect">
                      <a:avLst/>
                    </a:prstGeom>
                  </pic:spPr>
                </pic:pic>
              </a:graphicData>
            </a:graphic>
          </wp:inline>
        </w:drawing>
      </w:r>
    </w:p>
    <w:p>
      <w:pPr>
        <w:spacing w:after="200"/>
        <w:jc w:val="center"/>
      </w:pPr>
      <w:r>
        <w:rPr>
          <w:rFonts w:ascii="Calibri" w:cs="Calibri" w:eastAsia="Calibri" w:hAnsi="Calibri"/>
          <w:b w:val="false"/>
          <w:bCs w:val="false"/>
          <w:i/>
          <w:iCs/>
          <w:color w:val="000000"/>
          <w:sz w:val="17"/>
          <w:szCs w:val="17"/>
        </w:rPr>
        <w:t xml:space="preserve">Figure 1 — EdgeASIC v5.0 master architecture map. Green: implemented and verified. Yellow: primary target scheduled in the 36-week plan. Blue: addressing-only operators. Purple: control plane. Grey: host software. Orange: error and status path.</w:t>
      </w:r>
    </w:p>
    <w:p>
      <w:r>
        <w:br w:type="page"/>
      </w:r>
    </w:p>
    <w:p>
      <w:pPr>
        <w:pStyle w:val="Heading2"/>
        <w:spacing w:after="100" w:before="220"/>
      </w:pPr>
      <w:r>
        <w:rPr>
          <w:rFonts w:ascii="Calibri" w:cs="Calibri" w:eastAsia="Calibri" w:hAnsi="Calibri"/>
          <w:b/>
          <w:bCs/>
          <w:color w:val="1F3864"/>
          <w:sz w:val="23"/>
          <w:szCs w:val="23"/>
        </w:rPr>
        <w:t xml:space="preserve">Figure 2 — Host-Assisted Execution and Postprocessing Flow</w:t>
      </w:r>
    </w:p>
    <w:p>
      <w:pPr>
        <w:spacing w:after="60" w:before="160"/>
        <w:jc w:val="center"/>
      </w:pPr>
      <w:r>
        <w:drawing>
          <wp:inline distT="0" distB="0" distL="0" distR="0">
            <wp:extent cx="609600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1114425"/>
                    </a:xfrm>
                    <a:prstGeom prst="rect">
                      <a:avLst/>
                    </a:prstGeom>
                  </pic:spPr>
                </pic:pic>
              </a:graphicData>
            </a:graphic>
          </wp:inline>
        </w:drawing>
      </w:r>
    </w:p>
    <w:p>
      <w:pPr>
        <w:spacing w:after="200"/>
        <w:jc w:val="center"/>
      </w:pPr>
      <w:r>
        <w:rPr>
          <w:rFonts w:ascii="Calibri" w:cs="Calibri" w:eastAsia="Calibri" w:hAnsi="Calibri"/>
          <w:b w:val="false"/>
          <w:bCs w:val="false"/>
          <w:i/>
          <w:iCs/>
          <w:color w:val="000000"/>
          <w:sz w:val="17"/>
          <w:szCs w:val="17"/>
        </w:rPr>
        <w:t xml:space="preserve">Figure 2 — Host preparation, orchestration and postprocessing around the accelerator. The IP receives prepared INT8 tensor tiles and descriptors, never raw images.</w:t>
      </w:r>
    </w:p>
    <w:p>
      <w:pPr>
        <w:pStyle w:val="Heading2"/>
        <w:spacing w:after="100" w:before="220"/>
      </w:pPr>
      <w:r>
        <w:rPr>
          <w:rFonts w:ascii="Calibri" w:cs="Calibri" w:eastAsia="Calibri" w:hAnsi="Calibri"/>
          <w:b/>
          <w:bCs/>
          <w:color w:val="1F3864"/>
          <w:sz w:val="23"/>
          <w:szCs w:val="23"/>
        </w:rPr>
        <w:t xml:space="preserve">Figure 3 — Core Datapath and Extension Attach Points</w:t>
      </w:r>
    </w:p>
    <w:p>
      <w:pPr>
        <w:spacing w:after="60" w:before="160"/>
        <w:jc w:val="center"/>
      </w:pPr>
      <w:r>
        <w:drawing>
          <wp:inline distT="0" distB="0" distL="0" distR="0">
            <wp:extent cx="3648075"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48075" cy="6858000"/>
                    </a:xfrm>
                    <a:prstGeom prst="rect">
                      <a:avLst/>
                    </a:prstGeom>
                  </pic:spPr>
                </pic:pic>
              </a:graphicData>
            </a:graphic>
          </wp:inline>
        </w:drawing>
      </w:r>
    </w:p>
    <w:p>
      <w:pPr>
        <w:spacing w:after="200"/>
        <w:jc w:val="center"/>
      </w:pPr>
      <w:r>
        <w:rPr>
          <w:rFonts w:ascii="Calibri" w:cs="Calibri" w:eastAsia="Calibri" w:hAnsi="Calibri"/>
          <w:b w:val="false"/>
          <w:bCs w:val="false"/>
          <w:i/>
          <w:iCs/>
          <w:color w:val="000000"/>
          <w:sz w:val="17"/>
          <w:szCs w:val="17"/>
        </w:rPr>
        <w:t xml:space="preserve">Figure 3 — Compute core with v5.0 extension attach points. The spine from array through requantisation is unchanged from v4.8; LUT-SiLU and the elementwise unit attach in the drain path, pooling and the detect head attach between layers.</w:t>
      </w:r>
    </w:p>
    <w:p>
      <w:r>
        <w:br w:type="page"/>
      </w:r>
    </w:p>
    <w:p>
      <w:pPr>
        <w:pStyle w:val="Heading2"/>
        <w:spacing w:after="100" w:before="220"/>
      </w:pPr>
      <w:r>
        <w:rPr>
          <w:rFonts w:ascii="Calibri" w:cs="Calibri" w:eastAsia="Calibri" w:hAnsi="Calibri"/>
          <w:b/>
          <w:bCs/>
          <w:color w:val="1F3864"/>
          <w:sz w:val="23"/>
          <w:szCs w:val="23"/>
        </w:rPr>
        <w:t xml:space="preserve">Figure 4 — Control Plane, Memory System, and Error/Status Path</w:t>
      </w:r>
    </w:p>
    <w:p>
      <w:pPr>
        <w:spacing w:after="60" w:before="160"/>
        <w:jc w:val="center"/>
      </w:pPr>
      <w:r>
        <w:drawing>
          <wp:inline distT="0" distB="0" distL="0" distR="0">
            <wp:extent cx="6096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381375"/>
                    </a:xfrm>
                    <a:prstGeom prst="rect">
                      <a:avLst/>
                    </a:prstGeom>
                  </pic:spPr>
                </pic:pic>
              </a:graphicData>
            </a:graphic>
          </wp:inline>
        </w:drawing>
      </w:r>
    </w:p>
    <w:p>
      <w:pPr>
        <w:spacing w:after="200"/>
        <w:jc w:val="center"/>
      </w:pPr>
      <w:r>
        <w:rPr>
          <w:rFonts w:ascii="Calibri" w:cs="Calibri" w:eastAsia="Calibri" w:hAnsi="Calibri"/>
          <w:b w:val="false"/>
          <w:bCs w:val="false"/>
          <w:i/>
          <w:iCs/>
          <w:color w:val="000000"/>
          <w:sz w:val="17"/>
          <w:szCs w:val="17"/>
        </w:rPr>
        <w:t xml:space="preserve">Figure 4 — Control plane and memory system. The descriptor ring, Tensor Table, graph scheduler, C2f sequencer, interrupt logic and DMA arbiter are v5.0 additions.</w:t>
      </w:r>
    </w:p>
    <w:p>
      <w:pPr>
        <w:pStyle w:val="Heading2"/>
        <w:spacing w:after="100" w:before="220"/>
      </w:pPr>
      <w:r>
        <w:rPr>
          <w:rFonts w:ascii="Calibri" w:cs="Calibri" w:eastAsia="Calibri" w:hAnsi="Calibri"/>
          <w:b/>
          <w:bCs/>
          <w:color w:val="1F3864"/>
          <w:sz w:val="23"/>
          <w:szCs w:val="23"/>
        </w:rPr>
        <w:t xml:space="preserve">Figure 5 — Architecture Delta from v4.8</w:t>
      </w:r>
    </w:p>
    <w:p>
      <w:pPr>
        <w:spacing w:after="60" w:before="160"/>
        <w:jc w:val="center"/>
      </w:pPr>
      <w:r>
        <w:drawing>
          <wp:inline distT="0" distB="0" distL="0" distR="0">
            <wp:extent cx="60960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428625"/>
                    </a:xfrm>
                    <a:prstGeom prst="rect">
                      <a:avLst/>
                    </a:prstGeom>
                  </pic:spPr>
                </pic:pic>
              </a:graphicData>
            </a:graphic>
          </wp:inline>
        </w:drawing>
      </w:r>
    </w:p>
    <w:p>
      <w:pPr>
        <w:spacing w:after="200"/>
        <w:jc w:val="center"/>
      </w:pPr>
      <w:r>
        <w:rPr>
          <w:rFonts w:ascii="Calibri" w:cs="Calibri" w:eastAsia="Calibri" w:hAnsi="Calibri"/>
          <w:b w:val="false"/>
          <w:bCs w:val="false"/>
          <w:i/>
          <w:iCs/>
          <w:color w:val="000000"/>
          <w:sz w:val="17"/>
          <w:szCs w:val="17"/>
        </w:rPr>
        <w:t xml:space="preserve">Figure 5 — Summary of the v4.8 to v5.0 architectural delta. Detailed in the companion Architecture Change Register.</w:t>
      </w:r>
    </w:p>
    <w:p>
      <w:r>
        <w:br w:type="page"/>
      </w:r>
    </w:p>
    <w:p>
      <w:pPr>
        <w:pStyle w:val="Heading1"/>
        <w:spacing w:after="140" w:before="300"/>
      </w:pPr>
      <w:r>
        <w:rPr>
          <w:rFonts w:ascii="Calibri" w:cs="Calibri" w:eastAsia="Calibri" w:hAnsi="Calibri"/>
          <w:b/>
          <w:bCs/>
          <w:color w:val="1F3864"/>
          <w:sz w:val="30"/>
          <w:szCs w:val="30"/>
        </w:rPr>
        <w:t xml:space="preserve">Chapter 5 — Host-Assisted Execution Contract</w:t>
      </w:r>
    </w:p>
    <w:p>
      <w:pPr>
        <w:spacing w:after="80" w:before="80"/>
        <w:jc w:val="left"/>
      </w:pPr>
      <w:r>
        <w:rPr>
          <w:rFonts w:ascii="Calibri" w:cs="Calibri" w:eastAsia="Calibri" w:hAnsi="Calibri"/>
          <w:b w:val="false"/>
          <w:bCs w:val="false"/>
          <w:i w:val="false"/>
          <w:iCs w:val="false"/>
          <w:color w:val="000000"/>
          <w:sz w:val="19"/>
          <w:szCs w:val="19"/>
        </w:rPr>
        <w:t xml:space="preserve">The host is a required part of the system, not a temporary debugging scaffold. It owns model-level orchestration until the descriptor ring, Tensor Table and graph scheduler are verified; after that, it owns network-level orchestration and the accelerator owns layer-level execution.</w:t>
      </w:r>
    </w:p>
    <w:p>
      <w:pPr>
        <w:spacing w:after="80" w:before="80"/>
        <w:jc w:val="left"/>
      </w:pPr>
      <w:r>
        <w:rPr>
          <w:rFonts w:ascii="Calibri" w:cs="Calibri" w:eastAsia="Calibri" w:hAnsi="Calibri"/>
          <w:b w:val="false"/>
          <w:bCs w:val="false"/>
          <w:i w:val="false"/>
          <w:iCs w:val="false"/>
          <w:color w:val="000000"/>
          <w:sz w:val="19"/>
          <w:szCs w:val="19"/>
        </w:rPr>
        <w:t xml:space="preserve">The hardware receives prepared tensor tiles rather than raw images. This is the most important architectural boundary in the system. The accelerator is designed for dense INT8 tile compute and depends on the host to deliver correctly quantised, correctly tiled, correctly padded data in the agreed layout.</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000"/>
        <w:gridCol w:w="3600"/>
        <w:gridCol w:w="3760"/>
      </w:tblGrid>
      <w:tr>
        <w:trPr>
          <w:tblHeader/>
        </w:trPr>
        <w:tc>
          <w:tcPr>
            <w:tcW w:type="dxa" w:w="20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Host stage</w:t>
            </w:r>
          </w:p>
        </w:tc>
        <w:tc>
          <w:tcPr>
            <w:tcW w:type="dxa" w:w="36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Action</w:t>
            </w:r>
          </w:p>
        </w:tc>
        <w:tc>
          <w:tcPr>
            <w:tcW w:type="dxa" w:w="37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Output to hardware or next stage</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Preprocess</w:t>
            </w:r>
          </w:p>
        </w:tc>
        <w:tc>
          <w:tcPr>
            <w:tcW w:type="dxa" w:w="3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Load image, resize with letterboxing, normalise.</w:t>
            </w:r>
          </w:p>
        </w:tc>
        <w:tc>
          <w:tcPr>
            <w:tcW w:type="dxa" w:w="3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Floating or fixed-point tensor.</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Quantise</w:t>
            </w:r>
          </w:p>
        </w:tc>
        <w:tc>
          <w:tcPr>
            <w:tcW w:type="dxa" w:w="3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Convert to INT8 using per-tensor or per-channel scale and zero point.</w:t>
            </w:r>
          </w:p>
        </w:tc>
        <w:tc>
          <w:tcPr>
            <w:tcW w:type="dxa" w:w="3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INT8 tensor plus quantisation parameters.</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Tile</w:t>
            </w:r>
          </w:p>
        </w:tc>
        <w:tc>
          <w:tcPr>
            <w:tcW w:type="dxa" w:w="3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Reorder to NHWC with 64-byte row padding to match the AXI beat.</w:t>
            </w:r>
          </w:p>
        </w:tc>
        <w:tc>
          <w:tcPr>
            <w:tcW w:type="dxa" w:w="3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Memory image consumable by the DMA read router.</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Weight preparation</w:t>
            </w:r>
          </w:p>
        </w:tc>
        <w:tc>
          <w:tcPr>
            <w:tcW w:type="dxa" w:w="3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Pack INT8 weights; fold BatchNorm into scale and shift.</w:t>
            </w:r>
          </w:p>
        </w:tc>
        <w:tc>
          <w:tcPr>
            <w:tcW w:type="dxa" w:w="3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Weight and bias/quant memory images.</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LUT generation</w:t>
            </w:r>
          </w:p>
        </w:tc>
        <w:tc>
          <w:tcPr>
            <w:tcW w:type="dxa" w:w="3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Compute the 256-entry SiLU table for each layer from that layer’s quantisation parameters.</w:t>
            </w:r>
          </w:p>
        </w:tc>
        <w:tc>
          <w:tcPr>
            <w:tcW w:type="dxa" w:w="3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LUT memory image per layer.</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Descriptor emission</w:t>
            </w:r>
          </w:p>
        </w:tc>
        <w:tc>
          <w:tcPr>
            <w:tcW w:type="dxa" w:w="3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Build the descriptor sequence for the network graph.</w:t>
            </w:r>
          </w:p>
        </w:tc>
        <w:tc>
          <w:tcPr>
            <w:tcW w:type="dxa" w:w="3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Descriptor ring contents.</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Launch and monitor</w:t>
            </w:r>
          </w:p>
        </w:tc>
        <w:tc>
          <w:tcPr>
            <w:tcW w:type="dxa" w:w="3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Write CSR START; poll DONE or wait for interrupt.</w:t>
            </w:r>
          </w:p>
        </w:tc>
        <w:tc>
          <w:tcPr>
            <w:tcW w:type="dxa" w:w="3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Execution.</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Read back</w:t>
            </w:r>
          </w:p>
        </w:tc>
        <w:tc>
          <w:tcPr>
            <w:tcW w:type="dxa" w:w="3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Read raw detection tensors from output SRAM via DMA.</w:t>
            </w:r>
          </w:p>
        </w:tc>
        <w:tc>
          <w:tcPr>
            <w:tcW w:type="dxa" w:w="3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Raw tensors.</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Decode and NMS</w:t>
            </w:r>
          </w:p>
        </w:tc>
        <w:tc>
          <w:tcPr>
            <w:tcW w:type="dxa" w:w="3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Decode boxes, filter by confidence, suppress overlaps, draw.</w:t>
            </w:r>
          </w:p>
        </w:tc>
        <w:tc>
          <w:tcPr>
            <w:tcW w:type="dxa" w:w="3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Final detections.</w:t>
            </w:r>
          </w:p>
        </w:tc>
      </w:tr>
    </w:tbl>
    <w:p>
      <w:pPr>
        <w:spacing w:after="80" w:before="80"/>
        <w:jc w:val="left"/>
      </w:pPr>
      <w:r>
        <w:rPr>
          <w:rFonts w:ascii="Calibri" w:cs="Calibri" w:eastAsia="Calibri" w:hAnsi="Calibri"/>
          <w:b w:val="false"/>
          <w:bCs w:val="false"/>
          <w:i w:val="false"/>
          <w:iCs w:val="false"/>
          <w:color w:val="000000"/>
          <w:sz w:val="19"/>
          <w:szCs w:val="19"/>
        </w:rPr>
        <w:t xml:space="preserve">The demo must measure kernel and full-system performance separately. Kernel-only measurement demonstrates the value of the 64-PE array; full-system measurement exposes transfer and host overhead. Reporting only one of the two is a claim defect.</w:t>
      </w:r>
    </w:p>
    <w:p>
      <w:r>
        <w:br w:type="page"/>
      </w:r>
    </w:p>
    <w:p>
      <w:pPr>
        <w:pStyle w:val="Heading1"/>
        <w:spacing w:after="140" w:before="300"/>
      </w:pPr>
      <w:r>
        <w:rPr>
          <w:rFonts w:ascii="Calibri" w:cs="Calibri" w:eastAsia="Calibri" w:hAnsi="Calibri"/>
          <w:b/>
          <w:bCs/>
          <w:color w:val="1F3864"/>
          <w:sz w:val="30"/>
          <w:szCs w:val="30"/>
        </w:rPr>
        <w:t xml:space="preserve">Chapter 6 — Tensor Layout, Tiling, and Quantisation Contract</w:t>
      </w:r>
    </w:p>
    <w:p>
      <w:pPr>
        <w:spacing w:after="80" w:before="80"/>
        <w:jc w:val="left"/>
      </w:pPr>
      <w:r>
        <w:rPr>
          <w:rFonts w:ascii="Calibri" w:cs="Calibri" w:eastAsia="Calibri" w:hAnsi="Calibri"/>
          <w:b w:val="false"/>
          <w:bCs w:val="false"/>
          <w:i w:val="false"/>
          <w:iCs w:val="false"/>
          <w:color w:val="000000"/>
          <w:sz w:val="19"/>
          <w:szCs w:val="19"/>
        </w:rPr>
        <w:t xml:space="preserve">This contract must be frozen before any DMA router or host packer work. A large fraction of accelerator defects originate in mismatched byte order, row padding or signedness interpretation between host and hardware, and such defects present as arithmetic errors rather than as interface errors, which makes them expensive to localise.</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400"/>
        <w:gridCol w:w="3400"/>
        <w:gridCol w:w="3560"/>
      </w:tblGrid>
      <w:tr>
        <w:trPr>
          <w:tblHeader/>
        </w:trPr>
        <w:tc>
          <w:tcPr>
            <w:tcW w:type="dxa" w:w="24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Contract item</w:t>
            </w:r>
          </w:p>
        </w:tc>
        <w:tc>
          <w:tcPr>
            <w:tcW w:type="dxa" w:w="34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Definition</w:t>
            </w:r>
          </w:p>
        </w:tc>
        <w:tc>
          <w:tcPr>
            <w:tcW w:type="dxa" w:w="35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Verification requirement</w:t>
            </w:r>
          </w:p>
        </w:tc>
      </w:tr>
      <w:tr>
        <w:trPr>
          <w:tblHeader w:val="false"/>
        </w:trPr>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Element format</w:t>
            </w:r>
          </w:p>
        </w:tc>
        <w:tc>
          <w:tcPr>
            <w:tcW w:type="dxa" w:w="3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Signed INT8 activations and weights.</w:t>
            </w:r>
          </w:p>
        </w:tc>
        <w:tc>
          <w:tcPr>
            <w:tcW w:type="dxa" w:w="35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Signed-product tests using positive and negative operands in all four sign combinations.</w:t>
            </w:r>
          </w:p>
        </w:tc>
      </w:tr>
      <w:tr>
        <w:trPr>
          <w:tblHeader w:val="false"/>
        </w:trPr>
        <w:tc>
          <w:tcPr>
            <w:tcW w:type="dxa" w:w="2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Tensor layout</w:t>
            </w:r>
          </w:p>
        </w:tc>
        <w:tc>
          <w:tcPr>
            <w:tcW w:type="dxa" w:w="3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NHWC with channel contiguous.</w:t>
            </w:r>
          </w:p>
        </w:tc>
        <w:tc>
          <w:tcPr>
            <w:tcW w:type="dxa" w:w="35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Host packer and DMA router agree on a byte-for-byte golden image.</w:t>
            </w:r>
          </w:p>
        </w:tc>
      </w:tr>
      <w:tr>
        <w:trPr>
          <w:tblHeader w:val="false"/>
        </w:trPr>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Row padding</w:t>
            </w:r>
          </w:p>
        </w:tc>
        <w:tc>
          <w:tcPr>
            <w:tcW w:type="dxa" w:w="3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Rows padded to a 64-byte boundary to match the 512-bit AXI beat.</w:t>
            </w:r>
          </w:p>
        </w:tc>
        <w:tc>
          <w:tcPr>
            <w:tcW w:type="dxa" w:w="35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Beat-mapping test with a deliberately unaligned tensor width.</w:t>
            </w:r>
          </w:p>
        </w:tc>
      </w:tr>
      <w:tr>
        <w:trPr>
          <w:tblHeader w:val="false"/>
        </w:trPr>
        <w:tc>
          <w:tcPr>
            <w:tcW w:type="dxa" w:w="2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Tile dimensions</w:t>
            </w:r>
          </w:p>
        </w:tc>
        <w:tc>
          <w:tcPr>
            <w:tcW w:type="dxa" w:w="3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M, N and K carried in the descriptor; K decomposed into sub-tiles of 8.</w:t>
            </w:r>
          </w:p>
        </w:tc>
        <w:tc>
          <w:tcPr>
            <w:tcW w:type="dxa" w:w="35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Multi-K accumulation test with K not a multiple of 8.</w:t>
            </w:r>
          </w:p>
        </w:tc>
      </w:tr>
      <w:tr>
        <w:trPr>
          <w:tblHeader w:val="false"/>
        </w:trPr>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Partial tiles</w:t>
            </w:r>
          </w:p>
        </w:tc>
        <w:tc>
          <w:tcPr>
            <w:tcW w:type="dxa" w:w="3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lane_valid mask suppresses lanes beyond the true M or N extent.</w:t>
            </w:r>
          </w:p>
        </w:tc>
        <w:tc>
          <w:tcPr>
            <w:tcW w:type="dxa" w:w="35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Partial-tile test at every edge and corner.</w:t>
            </w:r>
          </w:p>
        </w:tc>
      </w:tr>
      <w:tr>
        <w:trPr>
          <w:tblHeader w:val="false"/>
        </w:trPr>
        <w:tc>
          <w:tcPr>
            <w:tcW w:type="dxa" w:w="2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Accumulator width</w:t>
            </w:r>
          </w:p>
        </w:tc>
        <w:tc>
          <w:tcPr>
            <w:tcW w:type="dxa" w:w="3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INT33. Per-sub-tile bound is 8 × 128 × 128 = 131,072; 33 bits is safe across the full 16-bit csr_k range and 32 bits is not.</w:t>
            </w:r>
          </w:p>
        </w:tc>
        <w:tc>
          <w:tcPr>
            <w:tcW w:type="dxa" w:w="35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Golden model asserts the bound; adversarial accumulation test at maximum magnitude.</w:t>
            </w:r>
          </w:p>
        </w:tc>
      </w:tr>
      <w:tr>
        <w:trPr>
          <w:tblHeader w:val="false"/>
        </w:trPr>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Quantisation</w:t>
            </w:r>
          </w:p>
        </w:tc>
        <w:tc>
          <w:tcPr>
            <w:tcW w:type="dxa" w:w="3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Per-output-channel scale (24-bit) and shift (8-bit), applied after accumulation.</w:t>
            </w:r>
          </w:p>
        </w:tc>
        <w:tc>
          <w:tcPr>
            <w:tcW w:type="dxa" w:w="35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Bit-exact comparison against the Python model over a randomised 5,000-beat regression.</w:t>
            </w:r>
          </w:p>
        </w:tc>
      </w:tr>
      <w:tr>
        <w:trPr>
          <w:tblHeader w:val="false"/>
        </w:trPr>
        <w:tc>
          <w:tcPr>
            <w:tcW w:type="dxa" w:w="2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Rounding</w:t>
            </w:r>
          </w:p>
        </w:tc>
        <w:tc>
          <w:tcPr>
            <w:tcW w:type="dxa" w:w="3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HALF_UP, implemented via the shift-then-increment identity.</w:t>
            </w:r>
          </w:p>
        </w:tc>
        <w:tc>
          <w:tcPr>
            <w:tcW w:type="dxa" w:w="35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Directed tests at every tie-breaking boundary including negative ties.</w:t>
            </w:r>
          </w:p>
        </w:tc>
      </w:tr>
      <w:tr>
        <w:trPr>
          <w:tblHeader w:val="false"/>
        </w:trPr>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Saturation</w:t>
            </w:r>
          </w:p>
        </w:tc>
        <w:tc>
          <w:tcPr>
            <w:tcW w:type="dxa" w:w="3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INT8 saturation, not wrapping.</w:t>
            </w:r>
          </w:p>
        </w:tc>
        <w:tc>
          <w:tcPr>
            <w:tcW w:type="dxa" w:w="35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Overflow tests at both signed extremes.</w:t>
            </w:r>
          </w:p>
        </w:tc>
      </w:tr>
      <w:tr>
        <w:trPr>
          <w:tblHeader w:val="false"/>
        </w:trPr>
        <w:tc>
          <w:tcPr>
            <w:tcW w:type="dxa" w:w="2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Activation ordering</w:t>
            </w:r>
          </w:p>
        </w:tc>
        <w:tc>
          <w:tcPr>
            <w:tcW w:type="dxa" w:w="3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Activation is applied after requantisation.</w:t>
            </w:r>
          </w:p>
        </w:tc>
        <w:tc>
          <w:tcPr>
            <w:tcW w:type="dxa" w:w="35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Load-bearing for LUT-SiLU sizing; see Chapter 12.</w:t>
            </w:r>
          </w:p>
        </w:tc>
      </w:tr>
    </w:tbl>
    <w:p>
      <w:r>
        <w:br w:type="page"/>
      </w:r>
    </w:p>
    <w:p>
      <w:pPr>
        <w:pStyle w:val="Heading1"/>
        <w:spacing w:after="140" w:before="300"/>
      </w:pPr>
      <w:r>
        <w:rPr>
          <w:rFonts w:ascii="Calibri" w:cs="Calibri" w:eastAsia="Calibri" w:hAnsi="Calibri"/>
          <w:b/>
          <w:bCs/>
          <w:color w:val="1F3864"/>
          <w:sz w:val="30"/>
          <w:szCs w:val="30"/>
        </w:rPr>
        <w:t xml:space="preserve">Chapter 7 — CSR Map and Software-Visible Control</w:t>
      </w:r>
    </w:p>
    <w:p>
      <w:pPr>
        <w:spacing w:after="80" w:before="80"/>
        <w:jc w:val="left"/>
      </w:pPr>
      <w:r>
        <w:rPr>
          <w:rFonts w:ascii="Calibri" w:cs="Calibri" w:eastAsia="Calibri" w:hAnsi="Calibri"/>
          <w:b w:val="false"/>
          <w:bCs w:val="false"/>
          <w:i w:val="false"/>
          <w:iCs w:val="false"/>
          <w:color w:val="000000"/>
          <w:sz w:val="19"/>
          <w:szCs w:val="19"/>
        </w:rPr>
        <w:t xml:space="preserve">The CSR block is the host-visible control and observability surface. The project must not rely on top-level debug-only ports for status or performance data, because those ports do not exist in a packaged IP and any measurement taken through them is unreproducible.</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1800"/>
        <w:gridCol w:w="2600"/>
        <w:gridCol w:w="2200"/>
        <w:gridCol w:w="2760"/>
      </w:tblGrid>
      <w:tr>
        <w:trPr>
          <w:tblHeader/>
        </w:trPr>
        <w:tc>
          <w:tcPr>
            <w:tcW w:type="dxa" w:w="18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CSR group</w:t>
            </w:r>
          </w:p>
        </w:tc>
        <w:tc>
          <w:tcPr>
            <w:tcW w:type="dxa" w:w="26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Representative registers</w:t>
            </w:r>
          </w:p>
        </w:tc>
        <w:tc>
          <w:tcPr>
            <w:tcW w:type="dxa" w:w="22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Reset behaviour</w:t>
            </w:r>
          </w:p>
        </w:tc>
        <w:tc>
          <w:tcPr>
            <w:tcW w:type="dxa" w:w="27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Access</w:t>
            </w:r>
          </w:p>
        </w:tc>
      </w:tr>
      <w:tr>
        <w:trPr>
          <w:tblHeader w:val="false"/>
        </w:trPr>
        <w:tc>
          <w:tcPr>
            <w:tcW w:type="dxa" w:w="18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Control</w:t>
            </w:r>
          </w:p>
        </w:tc>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START, SOFT_RESET, PERF_CLEAR, IRQ_ENABLE</w:t>
            </w:r>
          </w:p>
        </w:tc>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0 after reset</w:t>
            </w:r>
          </w:p>
        </w:tc>
        <w:tc>
          <w:tcPr>
            <w:tcW w:type="dxa" w:w="2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Host write. START is a single-cycle pulse.</w:t>
            </w:r>
          </w:p>
        </w:tc>
      </w:tr>
      <w:tr>
        <w:trPr>
          <w:tblHeader w:val="false"/>
        </w:trPr>
        <w:tc>
          <w:tcPr>
            <w:tcW w:type="dxa" w:w="18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Status</w:t>
            </w:r>
          </w:p>
        </w:tc>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BUSY, DONE, sticky error bits</w:t>
            </w:r>
          </w:p>
        </w:tc>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0 after reset</w:t>
            </w:r>
          </w:p>
        </w:tc>
        <w:tc>
          <w:tcPr>
            <w:tcW w:type="dxa" w:w="2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Host read; error bits are write-1-to-clear.</w:t>
            </w:r>
          </w:p>
        </w:tc>
      </w:tr>
      <w:tr>
        <w:trPr>
          <w:tblHeader w:val="false"/>
        </w:trPr>
        <w:tc>
          <w:tcPr>
            <w:tcW w:type="dxa" w:w="18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Descriptor</w:t>
            </w:r>
          </w:p>
        </w:tc>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A_BASE, W_BASE, O_BASE, BQ_BASE, INPUT1_BASE, M, N, K, OP_TYPE, ACT_MODE, LUT_BASE</w:t>
            </w:r>
          </w:p>
        </w:tc>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0 after reset</w:t>
            </w:r>
          </w:p>
        </w:tc>
        <w:tc>
          <w:tcPr>
            <w:tcW w:type="dxa" w:w="2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Host write; committed atomically.</w:t>
            </w:r>
          </w:p>
        </w:tc>
      </w:tr>
      <w:tr>
        <w:trPr>
          <w:tblHeader w:val="false"/>
        </w:trPr>
        <w:tc>
          <w:tcPr>
            <w:tcW w:type="dxa" w:w="18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Tensor Table</w:t>
            </w:r>
          </w:p>
        </w:tc>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TT_INDEX, TT_BASE, TT_SHAPE, TT_STRIDE</w:t>
            </w:r>
          </w:p>
        </w:tc>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0 after reset</w:t>
            </w:r>
          </w:p>
        </w:tc>
        <w:tc>
          <w:tcPr>
            <w:tcW w:type="dxa" w:w="2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Host write; indexed access.</w:t>
            </w:r>
          </w:p>
        </w:tc>
      </w:tr>
      <w:tr>
        <w:trPr>
          <w:tblHeader w:val="false"/>
        </w:trPr>
        <w:tc>
          <w:tcPr>
            <w:tcW w:type="dxa" w:w="18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Ring</w:t>
            </w:r>
          </w:p>
        </w:tc>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RING_HEAD, RING_TAIL, RING_STATUS</w:t>
            </w:r>
          </w:p>
        </w:tc>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0 after reset</w:t>
            </w:r>
          </w:p>
        </w:tc>
        <w:tc>
          <w:tcPr>
            <w:tcW w:type="dxa" w:w="2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Host write head; hardware advances tail.</w:t>
            </w:r>
          </w:p>
        </w:tc>
      </w:tr>
      <w:tr>
        <w:trPr>
          <w:tblHeader w:val="false"/>
        </w:trPr>
        <w:tc>
          <w:tcPr>
            <w:tcW w:type="dxa" w:w="18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Performance</w:t>
            </w:r>
          </w:p>
        </w:tc>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TOTAL_CYCLES, COMPUTE_CYCLES, DMA_WAIT, STALL_CYCLES, WRITEBACK_CYCLES, MAC_ACTIVE</w:t>
            </w:r>
          </w:p>
        </w:tc>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0 after reset or PERF_CLEAR</w:t>
            </w:r>
          </w:p>
        </w:tc>
        <w:tc>
          <w:tcPr>
            <w:tcW w:type="dxa" w:w="2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Host read.</w:t>
            </w:r>
          </w:p>
        </w:tc>
      </w:tr>
      <w:tr>
        <w:trPr>
          <w:tblHeader w:val="false"/>
        </w:trPr>
        <w:tc>
          <w:tcPr>
            <w:tcW w:type="dxa" w:w="18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Interrupt</w:t>
            </w:r>
          </w:p>
        </w:tc>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IRQ_STATUS, IRQ_MASK</w:t>
            </w:r>
          </w:p>
        </w:tc>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0 after reset</w:t>
            </w:r>
          </w:p>
        </w:tc>
        <w:tc>
          <w:tcPr>
            <w:tcW w:type="dxa" w:w="2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Read and write-1-to-clear.</w:t>
            </w:r>
          </w:p>
        </w:tc>
      </w:tr>
    </w:tbl>
    <w:tbl>
      <w:tblPr>
        <w:tblW w:type="dxa" w:w="9360"/>
        <w:tblBorders>
          <w:top w:val="single" w:color="BF9000" w:sz="6"/>
          <w:left w:val="single" w:color="BF9000" w:sz="6"/>
          <w:bottom w:val="single" w:color="BF9000" w:sz="6"/>
          <w:right w:val="single" w:color="BF9000" w:sz="6"/>
          <w:insideH w:val="none"/>
          <w:insideV w:val="none"/>
        </w:tblBorders>
      </w:tblPr>
      <w:tblGrid>
        <w:gridCol w:w="9360"/>
      </w:tblGrid>
      <w:tr>
        <w:tc>
          <w:tcPr>
            <w:tcW w:type="dxa" w:w="9360"/>
            <w:shd w:fill="FFF2CC" w:color="auto" w:val="clear"/>
            <w:tcMar>
              <w:top w:type="dxa" w:w="110"/>
              <w:left w:type="dxa" w:w="150"/>
              <w:bottom w:type="dxa" w:w="110"/>
              <w:right w:type="dxa" w:w="150"/>
            </w:tcMar>
          </w:tcPr>
          <w:p>
            <w:pPr>
              <w:spacing w:after="70"/>
            </w:pPr>
            <w:r>
              <w:rPr>
                <w:rFonts w:ascii="Calibri" w:cs="Calibri" w:eastAsia="Calibri" w:hAnsi="Calibri"/>
                <w:b/>
                <w:bCs/>
                <w:i w:val="false"/>
                <w:iCs w:val="false"/>
                <w:color w:val="000000"/>
                <w:sz w:val="19"/>
                <w:szCs w:val="19"/>
              </w:rPr>
              <w:t xml:space="preserve">Software recovery sequence</w:t>
            </w:r>
          </w:p>
          <w:p>
            <w:pPr>
              <w:spacing w:after="40" w:before="40"/>
            </w:pPr>
            <w:r>
              <w:rPr>
                <w:rFonts w:ascii="Calibri" w:cs="Calibri" w:eastAsia="Calibri" w:hAnsi="Calibri"/>
                <w:b w:val="false"/>
                <w:bCs w:val="false"/>
                <w:i w:val="false"/>
                <w:iCs w:val="false"/>
                <w:color w:val="000000"/>
                <w:sz w:val="18"/>
                <w:szCs w:val="18"/>
              </w:rPr>
              <w:t xml:space="preserve">After a fatal sticky error the host reads IRQ_STATUS and the status register to identify the cause, writes 1 to the corresponding bits to clear them, asserts SOFT_RESET, waits for BUSY to deassert, reloads descriptors and tensors, then reissues START. The hardware must not require a full power-on reset to recover from any error it can raise.</w:t>
            </w:r>
          </w:p>
        </w:tc>
      </w:tr>
    </w:tbl>
    <w:p>
      <w:r>
        <w:br w:type="page"/>
      </w:r>
    </w:p>
    <w:p>
      <w:pPr>
        <w:pStyle w:val="Heading1"/>
        <w:spacing w:after="140" w:before="300"/>
      </w:pPr>
      <w:r>
        <w:rPr>
          <w:rFonts w:ascii="Calibri" w:cs="Calibri" w:eastAsia="Calibri" w:hAnsi="Calibri"/>
          <w:b/>
          <w:bCs/>
          <w:color w:val="1F3864"/>
          <w:sz w:val="30"/>
          <w:szCs w:val="30"/>
        </w:rPr>
        <w:t xml:space="preserve">Chapter 8 — Descriptor Format and Dynamic Pipeline Metadata</w:t>
      </w:r>
    </w:p>
    <w:p>
      <w:pPr>
        <w:spacing w:after="80" w:before="80"/>
        <w:jc w:val="left"/>
      </w:pPr>
      <w:r>
        <w:rPr>
          <w:rFonts w:ascii="Calibri" w:cs="Calibri" w:eastAsia="Calibri" w:hAnsi="Calibri"/>
          <w:b w:val="false"/>
          <w:bCs w:val="false"/>
          <w:i w:val="false"/>
          <w:iCs w:val="false"/>
          <w:color w:val="000000"/>
          <w:sz w:val="19"/>
          <w:szCs w:val="19"/>
        </w:rPr>
        <w:t xml:space="preserve">Descriptors are static operation records. They must not contain per-sub-tile dynamic control such as K_TILE_FIRST or K_TILE_LAST. Those signals are generated by the tile sequencer and propagate as pipeline metadata alongside the data they describe. Encoding them statically was identified as a defect in v4.4 and the prohibition is retained.</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000"/>
        <w:gridCol w:w="1800"/>
        <w:gridCol w:w="1800"/>
        <w:gridCol w:w="3760"/>
      </w:tblGrid>
      <w:tr>
        <w:trPr>
          <w:tblHeader/>
        </w:trPr>
        <w:tc>
          <w:tcPr>
            <w:tcW w:type="dxa" w:w="20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6"/>
                <w:szCs w:val="16"/>
              </w:rPr>
              <w:t xml:space="preserve">Descriptor field</w:t>
            </w:r>
          </w:p>
        </w:tc>
        <w:tc>
          <w:tcPr>
            <w:tcW w:type="dxa" w:w="18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6"/>
                <w:szCs w:val="16"/>
              </w:rPr>
              <w:t xml:space="preserve">Status</w:t>
            </w:r>
          </w:p>
        </w:tc>
        <w:tc>
          <w:tcPr>
            <w:tcW w:type="dxa" w:w="18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6"/>
                <w:szCs w:val="16"/>
              </w:rPr>
              <w:t xml:space="preserve">Used by</w:t>
            </w:r>
          </w:p>
        </w:tc>
        <w:tc>
          <w:tcPr>
            <w:tcW w:type="dxa" w:w="37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6"/>
                <w:szCs w:val="16"/>
              </w:rPr>
              <w:t xml:space="preserve">Meaning</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op_type</w:t>
            </w:r>
          </w:p>
        </w:tc>
        <w:tc>
          <w:tcPr>
            <w:tcW w:type="dxa" w:w="18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Baseline + primary</w:t>
            </w:r>
          </w:p>
        </w:tc>
        <w:tc>
          <w:tcPr>
            <w:tcW w:type="dxa" w:w="18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Dispatcher</w:t>
            </w:r>
          </w:p>
        </w:tc>
        <w:tc>
          <w:tcPr>
            <w:tcW w:type="dxa" w:w="3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Selects engine or primitive.</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act_mode</w:t>
            </w:r>
          </w:p>
        </w:tc>
        <w:tc>
          <w:tcPr>
            <w:tcW w:type="dxa" w:w="18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Baseline + primary</w:t>
            </w:r>
          </w:p>
        </w:tc>
        <w:tc>
          <w:tcPr>
            <w:tcW w:type="dxa" w:w="18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Activation unit</w:t>
            </w:r>
          </w:p>
        </w:tc>
        <w:tc>
          <w:tcPr>
            <w:tcW w:type="dxa" w:w="3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ACT_NONE, ACT_RELU, ACT_LUT_SILU.</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a_base, w_base, o_base</w:t>
            </w:r>
          </w:p>
        </w:tc>
        <w:tc>
          <w:tcPr>
            <w:tcW w:type="dxa" w:w="18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Baseline</w:t>
            </w:r>
          </w:p>
        </w:tc>
        <w:tc>
          <w:tcPr>
            <w:tcW w:type="dxa" w:w="18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DMA, addressing</w:t>
            </w:r>
          </w:p>
        </w:tc>
        <w:tc>
          <w:tcPr>
            <w:tcW w:type="dxa" w:w="3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Activation, weight and output tensor bases. o_base is the mechanism by which concat is realised.</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bq_base</w:t>
            </w:r>
          </w:p>
        </w:tc>
        <w:tc>
          <w:tcPr>
            <w:tcW w:type="dxa" w:w="18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Baseline</w:t>
            </w:r>
          </w:p>
        </w:tc>
        <w:tc>
          <w:tcPr>
            <w:tcW w:type="dxa" w:w="18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DMA</w:t>
            </w:r>
          </w:p>
        </w:tc>
        <w:tc>
          <w:tcPr>
            <w:tcW w:type="dxa" w:w="3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Bias and quantisation parameter base.</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input1_base</w:t>
            </w:r>
          </w:p>
        </w:tc>
        <w:tc>
          <w:tcPr>
            <w:tcW w:type="dxa" w:w="18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Primary</w:t>
            </w:r>
          </w:p>
        </w:tc>
        <w:tc>
          <w:tcPr>
            <w:tcW w:type="dxa" w:w="18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Elementwise unit</w:t>
            </w:r>
          </w:p>
        </w:tc>
        <w:tc>
          <w:tcPr>
            <w:tcW w:type="dxa" w:w="3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Residual second-operand base.</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lut_base</w:t>
            </w:r>
          </w:p>
        </w:tc>
        <w:tc>
          <w:tcPr>
            <w:tcW w:type="dxa" w:w="18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Primary (v5.0)</w:t>
            </w:r>
          </w:p>
        </w:tc>
        <w:tc>
          <w:tcPr>
            <w:tcW w:type="dxa" w:w="18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LUT loader</w:t>
            </w:r>
          </w:p>
        </w:tc>
        <w:tc>
          <w:tcPr>
            <w:tcW w:type="dxa" w:w="3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SiLU table base for this layer.</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m, n, k</w:t>
            </w:r>
          </w:p>
        </w:tc>
        <w:tc>
          <w:tcPr>
            <w:tcW w:type="dxa" w:w="18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Baseline</w:t>
            </w:r>
          </w:p>
        </w:tc>
        <w:tc>
          <w:tcPr>
            <w:tcW w:type="dxa" w:w="18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Tile sequencer</w:t>
            </w:r>
          </w:p>
        </w:tc>
        <w:tc>
          <w:tcPr>
            <w:tcW w:type="dxa" w:w="3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Tile dimensions; k decomposed into sub-tiles.</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kernel, stride, pad</w:t>
            </w:r>
          </w:p>
        </w:tc>
        <w:tc>
          <w:tcPr>
            <w:tcW w:type="dxa" w:w="18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Primary (v5.0)</w:t>
            </w:r>
          </w:p>
        </w:tc>
        <w:tc>
          <w:tcPr>
            <w:tcW w:type="dxa" w:w="18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Window generator</w:t>
            </w:r>
          </w:p>
        </w:tc>
        <w:tc>
          <w:tcPr>
            <w:tcW w:type="dxa" w:w="3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Convolution geometry.</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residual_en</w:t>
            </w:r>
          </w:p>
        </w:tc>
        <w:tc>
          <w:tcPr>
            <w:tcW w:type="dxa" w:w="18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Primary</w:t>
            </w:r>
          </w:p>
        </w:tc>
        <w:tc>
          <w:tcPr>
            <w:tcW w:type="dxa" w:w="18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Elementwise unit</w:t>
            </w:r>
          </w:p>
        </w:tc>
        <w:tc>
          <w:tcPr>
            <w:tcW w:type="dxa" w:w="3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Enables the residual path.</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partial_tile_en</w:t>
            </w:r>
          </w:p>
        </w:tc>
        <w:tc>
          <w:tcPr>
            <w:tcW w:type="dxa" w:w="18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Primary</w:t>
            </w:r>
          </w:p>
        </w:tc>
        <w:tc>
          <w:tcPr>
            <w:tcW w:type="dxa" w:w="18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Lane masking</w:t>
            </w:r>
          </w:p>
        </w:tc>
        <w:tc>
          <w:tcPr>
            <w:tcW w:type="dxa" w:w="3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Enables lane_valid suppression.</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tensor_table_en</w:t>
            </w:r>
          </w:p>
        </w:tc>
        <w:tc>
          <w:tcPr>
            <w:tcW w:type="dxa" w:w="18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Primary</w:t>
            </w:r>
          </w:p>
        </w:tc>
        <w:tc>
          <w:tcPr>
            <w:tcW w:type="dxa" w:w="18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Tensor Table</w:t>
            </w:r>
          </w:p>
        </w:tc>
        <w:tc>
          <w:tcPr>
            <w:tcW w:type="dxa" w:w="3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Selects tensor-ID addressing over raw addressing.</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src0_tensor_id, dst_tensor_id</w:t>
            </w:r>
          </w:p>
        </w:tc>
        <w:tc>
          <w:tcPr>
            <w:tcW w:type="dxa" w:w="18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Primary</w:t>
            </w:r>
          </w:p>
        </w:tc>
        <w:tc>
          <w:tcPr>
            <w:tcW w:type="dxa" w:w="18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Tensor Table, scheduler</w:t>
            </w:r>
          </w:p>
        </w:tc>
        <w:tc>
          <w:tcPr>
            <w:tcW w:type="dxa" w:w="3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Graph dependency tracking.</w:t>
            </w:r>
          </w:p>
        </w:tc>
      </w:tr>
    </w:tbl>
    <w:p>
      <w:pPr>
        <w:pStyle w:val="Heading2"/>
        <w:spacing w:after="100" w:before="220"/>
      </w:pPr>
      <w:r>
        <w:rPr>
          <w:rFonts w:ascii="Calibri" w:cs="Calibri" w:eastAsia="Calibri" w:hAnsi="Calibri"/>
          <w:b/>
          <w:bCs/>
          <w:color w:val="1F3864"/>
          <w:sz w:val="23"/>
          <w:szCs w:val="23"/>
        </w:rPr>
        <w:t xml:space="preserve">8.1 Dynamic Pipeline Metadata</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200"/>
        <w:gridCol w:w="1800"/>
        <w:gridCol w:w="5360"/>
      </w:tblGrid>
      <w:tr>
        <w:trPr>
          <w:tblHeader/>
        </w:trPr>
        <w:tc>
          <w:tcPr>
            <w:tcW w:type="dxa" w:w="22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pipe_meta_t field</w:t>
            </w:r>
          </w:p>
        </w:tc>
        <w:tc>
          <w:tcPr>
            <w:tcW w:type="dxa" w:w="18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Width / type</w:t>
            </w:r>
          </w:p>
        </w:tc>
        <w:tc>
          <w:tcPr>
            <w:tcW w:type="dxa" w:w="53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Meaning</w:t>
            </w:r>
          </w:p>
        </w:tc>
      </w:tr>
      <w:tr>
        <w:trPr>
          <w:tblHeader w:val="false"/>
        </w:trPr>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valid</w:t>
            </w:r>
          </w:p>
        </w:tc>
        <w:tc>
          <w:tcPr>
            <w:tcW w:type="dxa" w:w="18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1 bit</w:t>
            </w:r>
          </w:p>
        </w:tc>
        <w:tc>
          <w:tcPr>
            <w:tcW w:type="dxa" w:w="5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This data item is valid.</w:t>
            </w:r>
          </w:p>
        </w:tc>
      </w:tr>
      <w:tr>
        <w:trPr>
          <w:tblHeader w:val="false"/>
        </w:trPr>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k_tile_first</w:t>
            </w:r>
          </w:p>
        </w:tc>
        <w:tc>
          <w:tcPr>
            <w:tcW w:type="dxa" w:w="18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1 bit</w:t>
            </w:r>
          </w:p>
        </w:tc>
        <w:tc>
          <w:tcPr>
            <w:tcW w:type="dxa" w:w="5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Accumulator seeds with bias rather than reading back.</w:t>
            </w:r>
          </w:p>
        </w:tc>
      </w:tr>
      <w:tr>
        <w:trPr>
          <w:tblHeader w:val="false"/>
        </w:trPr>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k_tile_last</w:t>
            </w:r>
          </w:p>
        </w:tc>
        <w:tc>
          <w:tcPr>
            <w:tcW w:type="dxa" w:w="18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1 bit</w:t>
            </w:r>
          </w:p>
        </w:tc>
        <w:tc>
          <w:tcPr>
            <w:tcW w:type="dxa" w:w="5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Accumulator drains to requantisation.</w:t>
            </w:r>
          </w:p>
        </w:tc>
      </w:tr>
      <w:tr>
        <w:trPr>
          <w:tblHeader w:val="false"/>
        </w:trPr>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acc_addr</w:t>
            </w:r>
          </w:p>
        </w:tc>
        <w:tc>
          <w:tcPr>
            <w:tcW w:type="dxa" w:w="18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ACC_ADDR_W</w:t>
            </w:r>
          </w:p>
        </w:tc>
        <w:tc>
          <w:tcPr>
            <w:tcW w:type="dxa" w:w="5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Accumulator RAM target row.</w:t>
            </w:r>
          </w:p>
        </w:tc>
      </w:tr>
      <w:tr>
        <w:trPr>
          <w:tblHeader w:val="false"/>
        </w:trPr>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out_chan_base</w:t>
            </w:r>
          </w:p>
        </w:tc>
        <w:tc>
          <w:tcPr>
            <w:tcW w:type="dxa" w:w="18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CHAN_W</w:t>
            </w:r>
          </w:p>
        </w:tc>
        <w:tc>
          <w:tcPr>
            <w:tcW w:type="dxa" w:w="5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Output channel lookup for per-channel quantisation.</w:t>
            </w:r>
          </w:p>
        </w:tc>
      </w:tr>
      <w:tr>
        <w:trPr>
          <w:tblHeader w:val="false"/>
        </w:trPr>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lane_valid</w:t>
            </w:r>
          </w:p>
        </w:tc>
        <w:tc>
          <w:tcPr>
            <w:tcW w:type="dxa" w:w="18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N bits</w:t>
            </w:r>
          </w:p>
        </w:tc>
        <w:tc>
          <w:tcPr>
            <w:tcW w:type="dxa" w:w="5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Mask for dimensions not divisible by 8.</w:t>
            </w:r>
          </w:p>
        </w:tc>
      </w:tr>
      <w:tr>
        <w:trPr>
          <w:tblHeader w:val="false"/>
        </w:trPr>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dst_tensor_id</w:t>
            </w:r>
          </w:p>
        </w:tc>
        <w:tc>
          <w:tcPr>
            <w:tcW w:type="dxa" w:w="18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TENSOR_ID_W</w:t>
            </w:r>
          </w:p>
        </w:tc>
        <w:tc>
          <w:tcPr>
            <w:tcW w:type="dxa" w:w="5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Destination registration for the Tensor Table.</w:t>
            </w:r>
          </w:p>
        </w:tc>
      </w:tr>
    </w:tbl>
    <w:p>
      <w:r>
        <w:br w:type="page"/>
      </w:r>
    </w:p>
    <w:p>
      <w:pPr>
        <w:pStyle w:val="Heading1"/>
        <w:spacing w:after="140" w:before="300"/>
      </w:pPr>
      <w:r>
        <w:rPr>
          <w:rFonts w:ascii="Calibri" w:cs="Calibri" w:eastAsia="Calibri" w:hAnsi="Calibri"/>
          <w:b/>
          <w:bCs/>
          <w:color w:val="1F3864"/>
          <w:sz w:val="30"/>
          <w:szCs w:val="30"/>
        </w:rPr>
        <w:t xml:space="preserve">Chapter 9 — Tensor Table, Descriptor Ring, and Graph Scheduler</w:t>
      </w:r>
    </w:p>
    <w:p>
      <w:pPr>
        <w:spacing w:after="80" w:before="80"/>
        <w:jc w:val="left"/>
      </w:pPr>
      <w:r>
        <w:rPr>
          <w:rFonts w:ascii="Calibri" w:cs="Calibri" w:eastAsia="Calibri" w:hAnsi="Calibri"/>
          <w:b w:val="false"/>
          <w:bCs w:val="false"/>
          <w:i w:val="false"/>
          <w:iCs w:val="false"/>
          <w:color w:val="000000"/>
          <w:sz w:val="19"/>
          <w:szCs w:val="19"/>
        </w:rPr>
        <w:t xml:space="preserve">These blocks convert the accelerator from a per-layer engine driven by the host into a network-level engine driven by a descriptor sequence. They are the difference between an accelerator that requires host intervention at every layer boundary and one that does not, and they are consequently the highest-value and highest-risk control work in the plan.</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200"/>
        <w:gridCol w:w="3400"/>
        <w:gridCol w:w="3760"/>
      </w:tblGrid>
      <w:tr>
        <w:trPr>
          <w:tblHeader/>
        </w:trPr>
        <w:tc>
          <w:tcPr>
            <w:tcW w:type="dxa" w:w="22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Tensor Table field</w:t>
            </w:r>
          </w:p>
        </w:tc>
        <w:tc>
          <w:tcPr>
            <w:tcW w:type="dxa" w:w="34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Purpose</w:t>
            </w:r>
          </w:p>
        </w:tc>
        <w:tc>
          <w:tcPr>
            <w:tcW w:type="dxa" w:w="37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Hazard if wrong</w:t>
            </w:r>
          </w:p>
        </w:tc>
      </w:tr>
      <w:tr>
        <w:trPr>
          <w:tblHeader w:val="false"/>
        </w:trPr>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tensor_id</w:t>
            </w:r>
          </w:p>
        </w:tc>
        <w:tc>
          <w:tcPr>
            <w:tcW w:type="dxa" w:w="3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Unique tensor reference.</w:t>
            </w:r>
          </w:p>
        </w:tc>
        <w:tc>
          <w:tcPr>
            <w:tcW w:type="dxa" w:w="3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Descriptors read or overwrite the wrong tensor.</w:t>
            </w:r>
          </w:p>
        </w:tc>
      </w:tr>
      <w:tr>
        <w:trPr>
          <w:tblHeader w:val="false"/>
        </w:trPr>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base</w:t>
            </w:r>
          </w:p>
        </w:tc>
        <w:tc>
          <w:tcPr>
            <w:tcW w:type="dxa" w:w="3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Physical base address.</w:t>
            </w:r>
          </w:p>
        </w:tc>
        <w:tc>
          <w:tcPr>
            <w:tcW w:type="dxa" w:w="3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Silent data corruption with no error raised.</w:t>
            </w:r>
          </w:p>
        </w:tc>
      </w:tr>
      <w:tr>
        <w:trPr>
          <w:tblHeader w:val="false"/>
        </w:trPr>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shape</w:t>
            </w:r>
          </w:p>
        </w:tc>
        <w:tc>
          <w:tcPr>
            <w:tcW w:type="dxa" w:w="3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Dimensions for bounds and stride computation.</w:t>
            </w:r>
          </w:p>
        </w:tc>
        <w:tc>
          <w:tcPr>
            <w:tcW w:type="dxa" w:w="3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Shape errors surface as arithmetic errors at the wrong layer.</w:t>
            </w:r>
          </w:p>
        </w:tc>
      </w:tr>
      <w:tr>
        <w:trPr>
          <w:tblHeader w:val="false"/>
        </w:trPr>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stride</w:t>
            </w:r>
          </w:p>
        </w:tc>
        <w:tc>
          <w:tcPr>
            <w:tcW w:type="dxa" w:w="3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Row and channel strides.</w:t>
            </w:r>
          </w:p>
        </w:tc>
        <w:tc>
          <w:tcPr>
            <w:tcW w:type="dxa" w:w="3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Misaligned reads produce plausible but wrong results.</w:t>
            </w:r>
          </w:p>
        </w:tc>
      </w:tr>
      <w:tr>
        <w:trPr>
          <w:tblHeader w:val="false"/>
        </w:trPr>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lifetime / consumers</w:t>
            </w:r>
          </w:p>
        </w:tc>
        <w:tc>
          <w:tcPr>
            <w:tcW w:type="dxa" w:w="3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Number of pending consumers.</w:t>
            </w:r>
          </w:p>
        </w:tc>
        <w:tc>
          <w:tcPr>
            <w:tcW w:type="dxa" w:w="3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 tensor is freed while a later layer still needs it; C2f and neck rejoins are especially exposed.</w:t>
            </w:r>
          </w:p>
        </w:tc>
      </w:tr>
      <w:tr>
        <w:trPr>
          <w:tblHeader w:val="false"/>
        </w:trPr>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valid</w:t>
            </w:r>
          </w:p>
        </w:tc>
        <w:tc>
          <w:tcPr>
            <w:tcW w:type="dxa" w:w="3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Producer has completed.</w:t>
            </w:r>
          </w:p>
        </w:tc>
        <w:tc>
          <w:tcPr>
            <w:tcW w:type="dxa" w:w="3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Consumer reads uninitialised memory.</w:t>
            </w:r>
          </w:p>
        </w:tc>
      </w:tr>
    </w:tbl>
    <w:p>
      <w:pPr>
        <w:pStyle w:val="Heading2"/>
        <w:spacing w:after="100" w:before="220"/>
      </w:pPr>
      <w:r>
        <w:rPr>
          <w:rFonts w:ascii="Calibri" w:cs="Calibri" w:eastAsia="Calibri" w:hAnsi="Calibri"/>
          <w:b/>
          <w:bCs/>
          <w:color w:val="1F3864"/>
          <w:sz w:val="23"/>
          <w:szCs w:val="23"/>
        </w:rPr>
        <w:t xml:space="preserve">9.1 Graph Scheduler Rules</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600"/>
        <w:gridCol w:w="6760"/>
      </w:tblGrid>
      <w:tr>
        <w:trPr>
          <w:tblHeader/>
        </w:trPr>
        <w:tc>
          <w:tcPr>
            <w:tcW w:type="dxa" w:w="26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Scheduler rule</w:t>
            </w:r>
          </w:p>
        </w:tc>
        <w:tc>
          <w:tcPr>
            <w:tcW w:type="dxa" w:w="67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Required behaviour</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In-order issue</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The first scheduler issues descriptors in ring order when dependencies are satisfied. Out-of-order issue is explicitly out of scope.</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Dependency stall</w:t>
            </w:r>
          </w:p>
        </w:tc>
        <w:tc>
          <w:tcPr>
            <w:tcW w:type="dxa" w:w="6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 descriptor whose source tensor is not yet valid stalls rather than issuing speculatively.</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Branch fan-out</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 tensor consumed by more than one descriptor is retained until every consumer has completed.</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Rejoin synchronisation</w:t>
            </w:r>
          </w:p>
        </w:tc>
        <w:tc>
          <w:tcPr>
            <w:tcW w:type="dxa" w:w="6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 descriptor consuming two tensors issues only when both are valid. Required by C2f and by neck concatenation.</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No speculation</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No speculative execution, no reordering, no multi-descriptor overlap in this revision.</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Error propagation</w:t>
            </w:r>
          </w:p>
        </w:tc>
        <w:tc>
          <w:tcPr>
            <w:tcW w:type="dxa" w:w="6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 descriptor that raises an error halts issue and sets the sticky error bit rather than continuing with the remaining queue.</w:t>
            </w:r>
          </w:p>
        </w:tc>
      </w:tr>
    </w:tbl>
    <w:p>
      <w:r>
        <w:br w:type="page"/>
      </w:r>
    </w:p>
    <w:p>
      <w:pPr>
        <w:pStyle w:val="Heading1"/>
        <w:spacing w:after="140" w:before="300"/>
      </w:pPr>
      <w:r>
        <w:rPr>
          <w:rFonts w:ascii="Calibri" w:cs="Calibri" w:eastAsia="Calibri" w:hAnsi="Calibri"/>
          <w:b/>
          <w:bCs/>
          <w:color w:val="1F3864"/>
          <w:sz w:val="30"/>
          <w:szCs w:val="30"/>
        </w:rPr>
        <w:t xml:space="preserve">Chapter 10 — DMA, SRAM Banks, and Bank State Controller</w:t>
      </w:r>
    </w:p>
    <w:p>
      <w:pPr>
        <w:spacing w:after="80" w:before="80"/>
        <w:jc w:val="left"/>
      </w:pPr>
      <w:r>
        <w:rPr>
          <w:rFonts w:ascii="Calibri" w:cs="Calibri" w:eastAsia="Calibri" w:hAnsi="Calibri"/>
          <w:b w:val="false"/>
          <w:bCs w:val="false"/>
          <w:i w:val="false"/>
          <w:iCs w:val="false"/>
          <w:color w:val="000000"/>
          <w:sz w:val="19"/>
          <w:szCs w:val="19"/>
        </w:rPr>
        <w:t xml:space="preserve">The DMA and bank-control subsystem must be designed so that no request can hang. Every request either completes normally or completes locally with an error; a request that crosses a 4 KB page boundary is rejected before any AXI transaction is issued.</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1800"/>
        <w:gridCol w:w="2800"/>
        <w:gridCol w:w="2400"/>
        <w:gridCol w:w="2360"/>
      </w:tblGrid>
      <w:tr>
        <w:trPr>
          <w:tblHeader/>
        </w:trPr>
        <w:tc>
          <w:tcPr>
            <w:tcW w:type="dxa" w:w="18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Bank state</w:t>
            </w:r>
          </w:p>
        </w:tc>
        <w:tc>
          <w:tcPr>
            <w:tcW w:type="dxa" w:w="28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Meaning</w:t>
            </w:r>
          </w:p>
        </w:tc>
        <w:tc>
          <w:tcPr>
            <w:tcW w:type="dxa" w:w="24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Legal producer</w:t>
            </w:r>
          </w:p>
        </w:tc>
        <w:tc>
          <w:tcPr>
            <w:tcW w:type="dxa" w:w="23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Legal consumer</w:t>
            </w:r>
          </w:p>
        </w:tc>
      </w:tr>
      <w:tr>
        <w:trPr>
          <w:tblHeader w:val="false"/>
        </w:trPr>
        <w:tc>
          <w:tcPr>
            <w:tcW w:type="dxa" w:w="18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EMPTY</w:t>
            </w:r>
          </w:p>
        </w:tc>
        <w:tc>
          <w:tcPr>
            <w:tcW w:type="dxa" w:w="28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Bank holds no valid tile.</w:t>
            </w:r>
          </w:p>
        </w:tc>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Prefetch FSM may fill.</w:t>
            </w:r>
          </w:p>
        </w:tc>
        <w:tc>
          <w:tcPr>
            <w:tcW w:type="dxa" w:w="2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Compute must not read.</w:t>
            </w:r>
          </w:p>
        </w:tc>
      </w:tr>
      <w:tr>
        <w:trPr>
          <w:tblHeader w:val="false"/>
        </w:trPr>
        <w:tc>
          <w:tcPr>
            <w:tcW w:type="dxa" w:w="18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FILLING</w:t>
            </w:r>
          </w:p>
        </w:tc>
        <w:tc>
          <w:tcPr>
            <w:tcW w:type="dxa" w:w="28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DMA transfer in progress.</w:t>
            </w:r>
          </w:p>
        </w:tc>
        <w:tc>
          <w:tcPr>
            <w:tcW w:type="dxa" w:w="2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Prefetch FSM owns it.</w:t>
            </w:r>
          </w:p>
        </w:tc>
        <w:tc>
          <w:tcPr>
            <w:tcW w:type="dxa" w:w="2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Compute must not read.</w:t>
            </w:r>
          </w:p>
        </w:tc>
      </w:tr>
      <w:tr>
        <w:trPr>
          <w:tblHeader w:val="false"/>
        </w:trPr>
        <w:tc>
          <w:tcPr>
            <w:tcW w:type="dxa" w:w="18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VALID</w:t>
            </w:r>
          </w:p>
        </w:tc>
        <w:tc>
          <w:tcPr>
            <w:tcW w:type="dxa" w:w="28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Bank holds a complete tile.</w:t>
            </w:r>
          </w:p>
        </w:tc>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Prefetch must not overwrite.</w:t>
            </w:r>
          </w:p>
        </w:tc>
        <w:tc>
          <w:tcPr>
            <w:tcW w:type="dxa" w:w="2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Compute may read.</w:t>
            </w:r>
          </w:p>
        </w:tc>
      </w:tr>
      <w:tr>
        <w:trPr>
          <w:tblHeader w:val="false"/>
        </w:trPr>
        <w:tc>
          <w:tcPr>
            <w:tcW w:type="dxa" w:w="18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CONSUMED</w:t>
            </w:r>
          </w:p>
        </w:tc>
        <w:tc>
          <w:tcPr>
            <w:tcW w:type="dxa" w:w="28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Compute has finished reading.</w:t>
            </w:r>
          </w:p>
        </w:tc>
        <w:tc>
          <w:tcPr>
            <w:tcW w:type="dxa" w:w="2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Prefetch may refill.</w:t>
            </w:r>
          </w:p>
        </w:tc>
        <w:tc>
          <w:tcPr>
            <w:tcW w:type="dxa" w:w="2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Compute must not read.</w:t>
            </w:r>
          </w:p>
        </w:tc>
      </w:tr>
    </w:tbl>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400"/>
        <w:gridCol w:w="3400"/>
        <w:gridCol w:w="3560"/>
      </w:tblGrid>
      <w:tr>
        <w:trPr>
          <w:tblHeader/>
        </w:trPr>
        <w:tc>
          <w:tcPr>
            <w:tcW w:type="dxa" w:w="24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DMA event</w:t>
            </w:r>
          </w:p>
        </w:tc>
        <w:tc>
          <w:tcPr>
            <w:tcW w:type="dxa" w:w="34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Behaviour</w:t>
            </w:r>
          </w:p>
        </w:tc>
        <w:tc>
          <w:tcPr>
            <w:tcW w:type="dxa" w:w="35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Status effect</w:t>
            </w:r>
          </w:p>
        </w:tc>
      </w:tr>
      <w:tr>
        <w:trPr>
          <w:tblHeader w:val="false"/>
        </w:trPr>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Normal aligned request</w:t>
            </w:r>
          </w:p>
        </w:tc>
        <w:tc>
          <w:tcPr>
            <w:tcW w:type="dxa" w:w="3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Issue AXI read or write and await response.</w:t>
            </w:r>
          </w:p>
        </w:tc>
        <w:tc>
          <w:tcPr>
            <w:tcW w:type="dxa" w:w="35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dma_done on completion.</w:t>
            </w:r>
          </w:p>
        </w:tc>
      </w:tr>
      <w:tr>
        <w:trPr>
          <w:tblHeader w:val="false"/>
        </w:trPr>
        <w:tc>
          <w:tcPr>
            <w:tcW w:type="dxa" w:w="2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4 KB boundary crossing</w:t>
            </w:r>
          </w:p>
        </w:tc>
        <w:tc>
          <w:tcPr>
            <w:tcW w:type="dxa" w:w="3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Reject locally. Do not issue any AXI transaction.</w:t>
            </w:r>
          </w:p>
        </w:tc>
        <w:tc>
          <w:tcPr>
            <w:tcW w:type="dxa" w:w="35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dma_done and dma_error together; sticky AXI boundary error set.</w:t>
            </w:r>
          </w:p>
        </w:tc>
      </w:tr>
      <w:tr>
        <w:trPr>
          <w:tblHeader w:val="false"/>
        </w:trPr>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Prefetch versus writeback contention</w:t>
            </w:r>
          </w:p>
        </w:tc>
        <w:tc>
          <w:tcPr>
            <w:tcW w:type="dxa" w:w="3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DMA arbiter resolves by policy with starvation avoidance.</w:t>
            </w:r>
          </w:p>
        </w:tc>
        <w:tc>
          <w:tcPr>
            <w:tcW w:type="dxa" w:w="35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Arbitration is visible in DMA-wait cycle counters.</w:t>
            </w:r>
          </w:p>
        </w:tc>
      </w:tr>
      <w:tr>
        <w:trPr>
          <w:tblHeader w:val="false"/>
        </w:trPr>
        <w:tc>
          <w:tcPr>
            <w:tcW w:type="dxa" w:w="2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Bank ownership collision</w:t>
            </w:r>
          </w:p>
        </w:tc>
        <w:tc>
          <w:tcPr>
            <w:tcW w:type="dxa" w:w="3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Producer and consumer assert completion on the same bank in the same cycle.</w:t>
            </w:r>
          </w:p>
        </w:tc>
        <w:tc>
          <w:tcPr>
            <w:tcW w:type="dxa" w:w="35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bsc_error raised; state machine locks out rather than corrupting ownership.</w:t>
            </w:r>
          </w:p>
        </w:tc>
      </w:tr>
    </w:tbl>
    <w:p>
      <w:r>
        <w:br w:type="page"/>
      </w:r>
    </w:p>
    <w:p>
      <w:pPr>
        <w:pStyle w:val="Heading1"/>
        <w:spacing w:after="140" w:before="300"/>
      </w:pPr>
      <w:r>
        <w:rPr>
          <w:rFonts w:ascii="Calibri" w:cs="Calibri" w:eastAsia="Calibri" w:hAnsi="Calibri"/>
          <w:b/>
          <w:bCs/>
          <w:color w:val="1F3864"/>
          <w:sz w:val="30"/>
          <w:szCs w:val="30"/>
        </w:rPr>
        <w:t xml:space="preserve">Chapter 11 — Baseline Conv/GEMM Core Detailed Behaviour</w:t>
      </w:r>
    </w:p>
    <w:p>
      <w:pPr>
        <w:spacing w:after="80" w:before="80"/>
        <w:jc w:val="left"/>
      </w:pPr>
      <w:r>
        <w:rPr>
          <w:rFonts w:ascii="Calibri" w:cs="Calibri" w:eastAsia="Calibri" w:hAnsi="Calibri"/>
          <w:b w:val="false"/>
          <w:bCs w:val="false"/>
          <w:i w:val="false"/>
          <w:iCs w:val="false"/>
          <w:color w:val="000000"/>
          <w:sz w:val="19"/>
          <w:szCs w:val="19"/>
        </w:rPr>
        <w:t xml:space="preserve">The core is designed around deterministic timing and metadata alignment. Correctness depends on signed PE arithmetic, registered activation propagation, exact deskew delay per lane, and metadata that arrives on the same clock edge as the data it describes.</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1800"/>
        <w:gridCol w:w="7560"/>
      </w:tblGrid>
      <w:tr>
        <w:trPr>
          <w:tblHeader/>
        </w:trPr>
        <w:tc>
          <w:tcPr>
            <w:tcW w:type="dxa" w:w="18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Core component</w:t>
            </w:r>
          </w:p>
        </w:tc>
        <w:tc>
          <w:tcPr>
            <w:tcW w:type="dxa" w:w="75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Detailed behaviour</w:t>
            </w:r>
          </w:p>
        </w:tc>
      </w:tr>
      <w:tr>
        <w:trPr>
          <w:tblHeader w:val="false"/>
        </w:trPr>
        <w:tc>
          <w:tcPr>
            <w:tcW w:type="dxa" w:w="18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PE</w:t>
            </w:r>
          </w:p>
        </w:tc>
        <w:tc>
          <w:tcPr>
            <w:tcW w:type="dxa" w:w="75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Holds or loads a weight according to weight-stationary dataflow. Multiplies the incoming activation by the held weight and adds the incoming partial sum. Registers act_out so activation propagates one column per enabled cycle. Loading a new weight does not disturb an in-flight computation using the previously held weight.</w:t>
            </w:r>
          </w:p>
        </w:tc>
      </w:tr>
      <w:tr>
        <w:trPr>
          <w:tblHeader w:val="false"/>
        </w:trPr>
        <w:tc>
          <w:tcPr>
            <w:tcW w:type="dxa" w:w="18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8×8 array</w:t>
            </w:r>
          </w:p>
        </w:tc>
        <w:tc>
          <w:tcPr>
            <w:tcW w:type="dxa" w:w="75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64 PEs. Activations flow across rows, partial sums down columns. Column c produces its result N−1−c cycles before column N−1, which is the skew the SDDU removes.</w:t>
            </w:r>
          </w:p>
        </w:tc>
      </w:tr>
      <w:tr>
        <w:trPr>
          <w:tblHeader w:val="false"/>
        </w:trPr>
        <w:tc>
          <w:tcPr>
            <w:tcW w:type="dxa" w:w="18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SDDU</w:t>
            </w:r>
          </w:p>
        </w:tc>
        <w:tc>
          <w:tcPr>
            <w:tcW w:type="dxa" w:w="75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Delays lane c by MAX_DELAY − c enabled cycles where MAX_DELAY = N − 1. Metadata propagates through a pipeline of matching depth so that out_valid, k_tile_first, k_tile_last and acc_addr are aligned with the deskewed data vector. When enable is low the entire pipeline including metadata freezes.</w:t>
            </w:r>
          </w:p>
        </w:tc>
      </w:tr>
      <w:tr>
        <w:trPr>
          <w:tblHeader w:val="false"/>
        </w:trPr>
        <w:tc>
          <w:tcPr>
            <w:tcW w:type="dxa" w:w="18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Accumulator</w:t>
            </w:r>
          </w:p>
        </w:tc>
        <w:tc>
          <w:tcPr>
            <w:tcW w:type="dxa" w:w="75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1R1W synchronous SRAM with a two-stage pipeline. Read-after-write hazards are resolved by a bypass path, verified at maximum hazard pressure including the case where a stall coincides with a bypass cycle.</w:t>
            </w:r>
          </w:p>
        </w:tc>
      </w:tr>
      <w:tr>
        <w:trPr>
          <w:tblHeader w:val="false"/>
        </w:trPr>
        <w:tc>
          <w:tcPr>
            <w:tcW w:type="dxa" w:w="18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Requantisation</w:t>
            </w:r>
          </w:p>
        </w:tc>
        <w:tc>
          <w:tcPr>
            <w:tcW w:type="dxa" w:w="75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INT33 accumulator multiplied by a 24-bit unsigned scale into an INT57 product, right-shifted with HALF_UP rounding via the shift-then-increment identity, then saturated to INT8.</w:t>
            </w:r>
          </w:p>
        </w:tc>
      </w:tr>
      <w:tr>
        <w:trPr>
          <w:tblHeader w:val="false"/>
        </w:trPr>
        <w:tc>
          <w:tcPr>
            <w:tcW w:type="dxa" w:w="18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Activation</w:t>
            </w:r>
          </w:p>
        </w:tc>
        <w:tc>
          <w:tcPr>
            <w:tcW w:type="dxa" w:w="75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Applied after requantisation. ACT_NONE, ACT_RELU, or ACT_LUT_SILU indexed by the INT8 code.</w:t>
            </w:r>
          </w:p>
        </w:tc>
      </w:tr>
    </w:tbl>
    <w:p>
      <w:pPr>
        <w:pStyle w:val="Heading2"/>
        <w:spacing w:after="100" w:before="220"/>
      </w:pPr>
      <w:r>
        <w:rPr>
          <w:rFonts w:ascii="Calibri" w:cs="Calibri" w:eastAsia="Calibri" w:hAnsi="Calibri"/>
          <w:b/>
          <w:bCs/>
          <w:color w:val="1F3864"/>
          <w:sz w:val="23"/>
          <w:szCs w:val="23"/>
        </w:rPr>
        <w:t xml:space="preserve">11.1 K-Tile Accumulation Cases</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1200"/>
        <w:gridCol w:w="1200"/>
        <w:gridCol w:w="3400"/>
        <w:gridCol w:w="3560"/>
      </w:tblGrid>
      <w:tr>
        <w:trPr>
          <w:tblHeader/>
        </w:trPr>
        <w:tc>
          <w:tcPr>
            <w:tcW w:type="dxa" w:w="12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FIRST</w:t>
            </w:r>
          </w:p>
        </w:tc>
        <w:tc>
          <w:tcPr>
            <w:tcW w:type="dxa" w:w="12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LAST</w:t>
            </w:r>
          </w:p>
        </w:tc>
        <w:tc>
          <w:tcPr>
            <w:tcW w:type="dxa" w:w="34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Accumulator action</w:t>
            </w:r>
          </w:p>
        </w:tc>
        <w:tc>
          <w:tcPr>
            <w:tcW w:type="dxa" w:w="35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Output action</w:t>
            </w:r>
          </w:p>
        </w:tc>
      </w:tr>
      <w:tr>
        <w:trPr>
          <w:tblHeader w:val="false"/>
        </w:trPr>
        <w:tc>
          <w:tcPr>
            <w:tcW w:type="dxa" w:w="1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1</w:t>
            </w:r>
          </w:p>
        </w:tc>
        <w:tc>
          <w:tcPr>
            <w:tcW w:type="dxa" w:w="1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1</w:t>
            </w:r>
          </w:p>
        </w:tc>
        <w:tc>
          <w:tcPr>
            <w:tcW w:type="dxa" w:w="3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bias + MAC</w:t>
            </w:r>
          </w:p>
        </w:tc>
        <w:tc>
          <w:tcPr>
            <w:tcW w:type="dxa" w:w="35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Send to requantisation and output.</w:t>
            </w:r>
          </w:p>
        </w:tc>
      </w:tr>
      <w:tr>
        <w:trPr>
          <w:tblHeader w:val="false"/>
        </w:trPr>
        <w:tc>
          <w:tcPr>
            <w:tcW w:type="dxa" w:w="1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1</w:t>
            </w:r>
          </w:p>
        </w:tc>
        <w:tc>
          <w:tcPr>
            <w:tcW w:type="dxa" w:w="1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0</w:t>
            </w:r>
          </w:p>
        </w:tc>
        <w:tc>
          <w:tcPr>
            <w:tcW w:type="dxa" w:w="3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bias + MAC, write to buffer</w:t>
            </w:r>
          </w:p>
        </w:tc>
        <w:tc>
          <w:tcPr>
            <w:tcW w:type="dxa" w:w="35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No output.</w:t>
            </w:r>
          </w:p>
        </w:tc>
      </w:tr>
      <w:tr>
        <w:trPr>
          <w:tblHeader w:val="false"/>
        </w:trPr>
        <w:tc>
          <w:tcPr>
            <w:tcW w:type="dxa" w:w="1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0</w:t>
            </w:r>
          </w:p>
        </w:tc>
        <w:tc>
          <w:tcPr>
            <w:tcW w:type="dxa" w:w="1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0</w:t>
            </w:r>
          </w:p>
        </w:tc>
        <w:tc>
          <w:tcPr>
            <w:tcW w:type="dxa" w:w="3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read buffer + MAC, write back</w:t>
            </w:r>
          </w:p>
        </w:tc>
        <w:tc>
          <w:tcPr>
            <w:tcW w:type="dxa" w:w="35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No output.</w:t>
            </w:r>
          </w:p>
        </w:tc>
      </w:tr>
      <w:tr>
        <w:trPr>
          <w:tblHeader w:val="false"/>
        </w:trPr>
        <w:tc>
          <w:tcPr>
            <w:tcW w:type="dxa" w:w="1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0</w:t>
            </w:r>
          </w:p>
        </w:tc>
        <w:tc>
          <w:tcPr>
            <w:tcW w:type="dxa" w:w="1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1</w:t>
            </w:r>
          </w:p>
        </w:tc>
        <w:tc>
          <w:tcPr>
            <w:tcW w:type="dxa" w:w="3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read buffer + MAC</w:t>
            </w:r>
          </w:p>
        </w:tc>
        <w:tc>
          <w:tcPr>
            <w:tcW w:type="dxa" w:w="35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Send to requantisation and output.</w:t>
            </w:r>
          </w:p>
        </w:tc>
      </w:tr>
    </w:tbl>
    <w:p>
      <w:r>
        <w:br w:type="page"/>
      </w:r>
    </w:p>
    <w:p>
      <w:pPr>
        <w:pStyle w:val="Heading1"/>
        <w:spacing w:after="140" w:before="300"/>
      </w:pPr>
      <w:r>
        <w:rPr>
          <w:rFonts w:ascii="Calibri" w:cs="Calibri" w:eastAsia="Calibri" w:hAnsi="Calibri"/>
          <w:b/>
          <w:bCs/>
          <w:color w:val="1F3864"/>
          <w:sz w:val="30"/>
          <w:szCs w:val="30"/>
        </w:rPr>
        <w:t xml:space="preserve">Chapter 12 — Arithmetic, Quantisation, and Activation</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200"/>
        <w:gridCol w:w="1400"/>
        <w:gridCol w:w="1600"/>
        <w:gridCol w:w="4160"/>
      </w:tblGrid>
      <w:tr>
        <w:trPr>
          <w:tblHeader/>
        </w:trPr>
        <w:tc>
          <w:tcPr>
            <w:tcW w:type="dxa" w:w="22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Stage</w:t>
            </w:r>
          </w:p>
        </w:tc>
        <w:tc>
          <w:tcPr>
            <w:tcW w:type="dxa" w:w="14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Width</w:t>
            </w:r>
          </w:p>
        </w:tc>
        <w:tc>
          <w:tcPr>
            <w:tcW w:type="dxa" w:w="16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Signedness</w:t>
            </w:r>
          </w:p>
        </w:tc>
        <w:tc>
          <w:tcPr>
            <w:tcW w:type="dxa" w:w="41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Rule</w:t>
            </w:r>
          </w:p>
        </w:tc>
      </w:tr>
      <w:tr>
        <w:trPr>
          <w:tblHeader w:val="false"/>
        </w:trPr>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Activation input</w:t>
            </w:r>
          </w:p>
        </w:tc>
        <w:tc>
          <w:tcPr>
            <w:tcW w:type="dxa" w:w="1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INT8</w:t>
            </w:r>
          </w:p>
        </w:tc>
        <w:tc>
          <w:tcPr>
            <w:tcW w:type="dxa" w:w="1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Signed</w:t>
            </w:r>
          </w:p>
        </w:tc>
        <w:tc>
          <w:tcPr>
            <w:tcW w:type="dxa" w:w="41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Host and PE agree on signed interpretation.</w:t>
            </w:r>
          </w:p>
        </w:tc>
      </w:tr>
      <w:tr>
        <w:trPr>
          <w:tblHeader w:val="false"/>
        </w:trPr>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Weight</w:t>
            </w:r>
          </w:p>
        </w:tc>
        <w:tc>
          <w:tcPr>
            <w:tcW w:type="dxa" w:w="1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INT8</w:t>
            </w:r>
          </w:p>
        </w:tc>
        <w:tc>
          <w:tcPr>
            <w:tcW w:type="dxa" w:w="1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Signed</w:t>
            </w:r>
          </w:p>
        </w:tc>
        <w:tc>
          <w:tcPr>
            <w:tcW w:type="dxa" w:w="41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Weight-stationary; loaded per row.</w:t>
            </w:r>
          </w:p>
        </w:tc>
      </w:tr>
      <w:tr>
        <w:trPr>
          <w:tblHeader w:val="false"/>
        </w:trPr>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Product</w:t>
            </w:r>
          </w:p>
        </w:tc>
        <w:tc>
          <w:tcPr>
            <w:tcW w:type="dxa" w:w="1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INT16</w:t>
            </w:r>
          </w:p>
        </w:tc>
        <w:tc>
          <w:tcPr>
            <w:tcW w:type="dxa" w:w="1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Signed</w:t>
            </w:r>
          </w:p>
        </w:tc>
        <w:tc>
          <w:tcPr>
            <w:tcW w:type="dxa" w:w="41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act × wgt.</w:t>
            </w:r>
          </w:p>
        </w:tc>
      </w:tr>
      <w:tr>
        <w:trPr>
          <w:tblHeader w:val="false"/>
        </w:trPr>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Column partial sum</w:t>
            </w:r>
          </w:p>
        </w:tc>
        <w:tc>
          <w:tcPr>
            <w:tcW w:type="dxa" w:w="1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INT32</w:t>
            </w:r>
          </w:p>
        </w:tc>
        <w:tc>
          <w:tcPr>
            <w:tcW w:type="dxa" w:w="1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Signed</w:t>
            </w:r>
          </w:p>
        </w:tc>
        <w:tc>
          <w:tcPr>
            <w:tcW w:type="dxa" w:w="41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Accumulated down the column.</w:t>
            </w:r>
          </w:p>
        </w:tc>
      </w:tr>
      <w:tr>
        <w:trPr>
          <w:tblHeader w:val="false"/>
        </w:trPr>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Accumulator</w:t>
            </w:r>
          </w:p>
        </w:tc>
        <w:tc>
          <w:tcPr>
            <w:tcW w:type="dxa" w:w="1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INT33</w:t>
            </w:r>
          </w:p>
        </w:tc>
        <w:tc>
          <w:tcPr>
            <w:tcW w:type="dxa" w:w="1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Signed</w:t>
            </w:r>
          </w:p>
        </w:tc>
        <w:tc>
          <w:tcPr>
            <w:tcW w:type="dxa" w:w="41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Bias plus accumulated partial sums across K sub-tiles.</w:t>
            </w:r>
          </w:p>
        </w:tc>
      </w:tr>
      <w:tr>
        <w:trPr>
          <w:tblHeader w:val="false"/>
        </w:trPr>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Scale</w:t>
            </w:r>
          </w:p>
        </w:tc>
        <w:tc>
          <w:tcPr>
            <w:tcW w:type="dxa" w:w="1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24-bit</w:t>
            </w:r>
          </w:p>
        </w:tc>
        <w:tc>
          <w:tcPr>
            <w:tcW w:type="dxa" w:w="1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Unsigned</w:t>
            </w:r>
          </w:p>
        </w:tc>
        <w:tc>
          <w:tcPr>
            <w:tcW w:type="dxa" w:w="41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Per output channel.</w:t>
            </w:r>
          </w:p>
        </w:tc>
      </w:tr>
      <w:tr>
        <w:trPr>
          <w:tblHeader w:val="false"/>
        </w:trPr>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Scaled product</w:t>
            </w:r>
          </w:p>
        </w:tc>
        <w:tc>
          <w:tcPr>
            <w:tcW w:type="dxa" w:w="1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INT57</w:t>
            </w:r>
          </w:p>
        </w:tc>
        <w:tc>
          <w:tcPr>
            <w:tcW w:type="dxa" w:w="1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Signed</w:t>
            </w:r>
          </w:p>
        </w:tc>
        <w:tc>
          <w:tcPr>
            <w:tcW w:type="dxa" w:w="41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INT33 × 24-bit unsigned.</w:t>
            </w:r>
          </w:p>
        </w:tc>
      </w:tr>
      <w:tr>
        <w:trPr>
          <w:tblHeader w:val="false"/>
        </w:trPr>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Shift</w:t>
            </w:r>
          </w:p>
        </w:tc>
        <w:tc>
          <w:tcPr>
            <w:tcW w:type="dxa" w:w="1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8-bit</w:t>
            </w:r>
          </w:p>
        </w:tc>
        <w:tc>
          <w:tcPr>
            <w:tcW w:type="dxa" w:w="1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Unsigned</w:t>
            </w:r>
          </w:p>
        </w:tc>
        <w:tc>
          <w:tcPr>
            <w:tcW w:type="dxa" w:w="41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Right shift with HALF_UP rounding.</w:t>
            </w:r>
          </w:p>
        </w:tc>
      </w:tr>
      <w:tr>
        <w:trPr>
          <w:tblHeader w:val="false"/>
        </w:trPr>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Output</w:t>
            </w:r>
          </w:p>
        </w:tc>
        <w:tc>
          <w:tcPr>
            <w:tcW w:type="dxa" w:w="1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INT8</w:t>
            </w:r>
          </w:p>
        </w:tc>
        <w:tc>
          <w:tcPr>
            <w:tcW w:type="dxa" w:w="1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Signed</w:t>
            </w:r>
          </w:p>
        </w:tc>
        <w:tc>
          <w:tcPr>
            <w:tcW w:type="dxa" w:w="41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Saturating, not wrapping.</w:t>
            </w:r>
          </w:p>
        </w:tc>
      </w:tr>
      <w:tr>
        <w:trPr>
          <w:tblHeader w:val="false"/>
        </w:trPr>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Activation</w:t>
            </w:r>
          </w:p>
        </w:tc>
        <w:tc>
          <w:tcPr>
            <w:tcW w:type="dxa" w:w="1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INT8</w:t>
            </w:r>
          </w:p>
        </w:tc>
        <w:tc>
          <w:tcPr>
            <w:tcW w:type="dxa" w:w="1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Signed</w:t>
            </w:r>
          </w:p>
        </w:tc>
        <w:tc>
          <w:tcPr>
            <w:tcW w:type="dxa" w:w="41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Applied after requantisation.</w:t>
            </w:r>
          </w:p>
        </w:tc>
      </w:tr>
    </w:tbl>
    <w:p>
      <w:pPr>
        <w:pStyle w:val="Heading2"/>
        <w:spacing w:after="100" w:before="220"/>
      </w:pPr>
      <w:r>
        <w:rPr>
          <w:rFonts w:ascii="Calibri" w:cs="Calibri" w:eastAsia="Calibri" w:hAnsi="Calibri"/>
          <w:b/>
          <w:bCs/>
          <w:color w:val="1F3864"/>
          <w:sz w:val="23"/>
          <w:szCs w:val="23"/>
        </w:rPr>
        <w:t xml:space="preserve">12.1 LUT-SiLU Sizing Argument</w:t>
      </w:r>
    </w:p>
    <w:p>
      <w:pPr>
        <w:spacing w:after="80" w:before="80"/>
        <w:jc w:val="left"/>
      </w:pPr>
      <w:r>
        <w:rPr>
          <w:rFonts w:ascii="Calibri" w:cs="Calibri" w:eastAsia="Calibri" w:hAnsi="Calibri"/>
          <w:b w:val="false"/>
          <w:bCs w:val="false"/>
          <w:i w:val="false"/>
          <w:iCs w:val="false"/>
          <w:color w:val="000000"/>
          <w:sz w:val="19"/>
          <w:szCs w:val="19"/>
        </w:rPr>
        <w:t xml:space="preserve">SiLU is x·σ(x) in the real domain. The hardware input is an INT8 code representing scale × (code − zero_point), so table contents depend on the quantisation parameters of the specific layer. The placement decision follows directly from table depth:</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3200"/>
        <w:gridCol w:w="2200"/>
        <w:gridCol w:w="3960"/>
      </w:tblGrid>
      <w:tr>
        <w:trPr>
          <w:tblHeader/>
        </w:trPr>
        <w:tc>
          <w:tcPr>
            <w:tcW w:type="dxa" w:w="32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Placement</w:t>
            </w:r>
          </w:p>
        </w:tc>
        <w:tc>
          <w:tcPr>
            <w:tcW w:type="dxa" w:w="22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Table depth</w:t>
            </w:r>
          </w:p>
        </w:tc>
        <w:tc>
          <w:tcPr>
            <w:tcW w:type="dxa" w:w="39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Consequence</w:t>
            </w:r>
          </w:p>
        </w:tc>
      </w:tr>
      <w:tr>
        <w:trPr>
          <w:tblHeader w:val="false"/>
        </w:trPr>
        <w:tc>
          <w:tcPr>
            <w:tcW w:type="dxa" w:w="3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After requantisation, indexed by INT8</w:t>
            </w:r>
          </w:p>
        </w:tc>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2⁸ = 256 entries</w:t>
            </w:r>
          </w:p>
        </w:tc>
        <w:tc>
          <w:tcPr>
            <w:tcW w:type="dxa" w:w="3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256-byte table. Smaller than one row of the accumulation buffer. Implementable.</w:t>
            </w:r>
          </w:p>
        </w:tc>
      </w:tr>
      <w:tr>
        <w:trPr>
          <w:tblHeader w:val="false"/>
        </w:trPr>
        <w:tc>
          <w:tcPr>
            <w:tcW w:type="dxa" w:w="3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Before requantisation, indexed by INT33</w:t>
            </w:r>
          </w:p>
        </w:tc>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2³³ = 8,589,934,592 entries</w:t>
            </w:r>
          </w:p>
        </w:tc>
        <w:tc>
          <w:tcPr>
            <w:tcW w:type="dxa" w:w="3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Approximately 8.6 GB of table storage. Physically impossible on an edge device.</w:t>
            </w:r>
          </w:p>
        </w:tc>
      </w:tr>
    </w:tbl>
    <w:p>
      <w:pPr>
        <w:spacing w:after="80" w:before="80"/>
        <w:jc w:val="left"/>
      </w:pPr>
      <w:r>
        <w:rPr>
          <w:rFonts w:ascii="Calibri" w:cs="Calibri" w:eastAsia="Calibri" w:hAnsi="Calibri"/>
          <w:b w:val="false"/>
          <w:bCs w:val="false"/>
          <w:i w:val="false"/>
          <w:iCs w:val="false"/>
          <w:color w:val="000000"/>
          <w:sz w:val="19"/>
          <w:szCs w:val="19"/>
        </w:rPr>
        <w:t xml:space="preserve">Because table contents are layer-dependent, the LUT is a small SRAM loaded by DMA at layer start rather than a hardwired ROM. The descriptor carries lut_base. The existing architectural decision to apply activation after requantisation is therefore load-bearing and must not be revisited without re-deriving this table.</w:t>
      </w:r>
    </w:p>
    <w:p>
      <w:r>
        <w:br w:type="page"/>
      </w:r>
    </w:p>
    <w:p>
      <w:pPr>
        <w:pStyle w:val="Heading1"/>
        <w:spacing w:after="140" w:before="300"/>
      </w:pPr>
      <w:r>
        <w:rPr>
          <w:rFonts w:ascii="Calibri" w:cs="Calibri" w:eastAsia="Calibri" w:hAnsi="Calibri"/>
          <w:b/>
          <w:bCs/>
          <w:color w:val="1F3864"/>
          <w:sz w:val="30"/>
          <w:szCs w:val="30"/>
        </w:rPr>
        <w:t xml:space="preserve">Chapter 13 — Conv2D Window Generator</w:t>
      </w:r>
    </w:p>
    <w:p>
      <w:pPr>
        <w:spacing w:after="80" w:before="80"/>
        <w:jc w:val="left"/>
      </w:pPr>
      <w:r>
        <w:rPr>
          <w:rFonts w:ascii="Calibri" w:cs="Calibri" w:eastAsia="Calibri" w:hAnsi="Calibri"/>
          <w:b w:val="false"/>
          <w:bCs w:val="false"/>
          <w:i w:val="false"/>
          <w:iCs w:val="false"/>
          <w:color w:val="000000"/>
          <w:sz w:val="19"/>
          <w:szCs w:val="19"/>
        </w:rPr>
        <w:t xml:space="preserve">The Conv2D window generator is the bridge from image-like tensors to the dense Conv/GEMM array. It converts spatial windows into channel-depth vectors that the array can consume as GEMM operands, and it is the critical-path module for the entire implementation schedule because every subsequent phase depends on a working single-layer path.</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000"/>
        <w:gridCol w:w="3600"/>
        <w:gridCol w:w="3760"/>
      </w:tblGrid>
      <w:tr>
        <w:trPr>
          <w:tblHeader/>
        </w:trPr>
        <w:tc>
          <w:tcPr>
            <w:tcW w:type="dxa" w:w="20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Subfeature</w:t>
            </w:r>
          </w:p>
        </w:tc>
        <w:tc>
          <w:tcPr>
            <w:tcW w:type="dxa" w:w="36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Required behaviour</w:t>
            </w:r>
          </w:p>
        </w:tc>
        <w:tc>
          <w:tcPr>
            <w:tcW w:type="dxa" w:w="37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Bring-up recommendation</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1×1 convolution</w:t>
            </w:r>
          </w:p>
        </w:tc>
        <w:tc>
          <w:tcPr>
            <w:tcW w:type="dxa" w:w="3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Present the input channel vector directly to the GEMM array for each output pixel. No windowing required.</w:t>
            </w:r>
          </w:p>
        </w:tc>
        <w:tc>
          <w:tcPr>
            <w:tcW w:type="dxa" w:w="3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Implement first; it is the degenerate case and validates the tile sequencer independently of window logic.</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3×3 convolution</w:t>
            </w:r>
          </w:p>
        </w:tc>
        <w:tc>
          <w:tcPr>
            <w:tcW w:type="dxa" w:w="3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Generate nine spatial offsets per output pixel; accumulate across the kernel as additional K depth.</w:t>
            </w:r>
          </w:p>
        </w:tc>
        <w:tc>
          <w:tcPr>
            <w:tcW w:type="dxa" w:w="3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Implement second.</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Stride 1 and 2</w:t>
            </w:r>
          </w:p>
        </w:tc>
        <w:tc>
          <w:tcPr>
            <w:tcW w:type="dxa" w:w="3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Advance the output pixel counters by the stride; input addressing follows.</w:t>
            </w:r>
          </w:p>
        </w:tc>
        <w:tc>
          <w:tcPr>
            <w:tcW w:type="dxa" w:w="3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Stride 2 halves output extent and is the common downsampling case in YOLOv8n.</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Padding</w:t>
            </w:r>
          </w:p>
        </w:tc>
        <w:tc>
          <w:tcPr>
            <w:tcW w:type="dxa" w:w="3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Zero-valued elements at tensor edges. Two implementations are possible; see §13.1.</w:t>
            </w:r>
          </w:p>
        </w:tc>
        <w:tc>
          <w:tcPr>
            <w:tcW w:type="dxa" w:w="3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Decide before RTL; the choice propagates into the tile sequencer.</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Partial tiles</w:t>
            </w:r>
          </w:p>
        </w:tc>
        <w:tc>
          <w:tcPr>
            <w:tcW w:type="dxa" w:w="3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Assert lane_valid to suppress lanes beyond the true extent.</w:t>
            </w:r>
          </w:p>
        </w:tc>
        <w:tc>
          <w:tcPr>
            <w:tcW w:type="dxa" w:w="3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Required whenever channel count is not a multiple of 8.</w:t>
            </w:r>
          </w:p>
        </w:tc>
      </w:tr>
    </w:tbl>
    <w:p>
      <w:pPr>
        <w:pStyle w:val="Heading2"/>
        <w:spacing w:after="100" w:before="220"/>
      </w:pPr>
      <w:r>
        <w:rPr>
          <w:rFonts w:ascii="Calibri" w:cs="Calibri" w:eastAsia="Calibri" w:hAnsi="Calibri"/>
          <w:b/>
          <w:bCs/>
          <w:color w:val="1F3864"/>
          <w:sz w:val="23"/>
          <w:szCs w:val="23"/>
        </w:rPr>
        <w:t xml:space="preserve">13.1 Padding Strategy — Open Architectural Decision</w:t>
      </w:r>
    </w:p>
    <w:tbl>
      <w:tblPr>
        <w:tblW w:type="dxa" w:w="9360"/>
        <w:tblBorders>
          <w:top w:val="single" w:color="BF9000" w:sz="6"/>
          <w:left w:val="single" w:color="BF9000" w:sz="6"/>
          <w:bottom w:val="single" w:color="BF9000" w:sz="6"/>
          <w:right w:val="single" w:color="BF9000" w:sz="6"/>
          <w:insideH w:val="none"/>
          <w:insideV w:val="none"/>
        </w:tblBorders>
      </w:tblPr>
      <w:tblGrid>
        <w:gridCol w:w="9360"/>
      </w:tblGrid>
      <w:tr>
        <w:tc>
          <w:tcPr>
            <w:tcW w:type="dxa" w:w="9360"/>
            <w:shd w:fill="FFF2CC" w:color="auto" w:val="clear"/>
            <w:tcMar>
              <w:top w:type="dxa" w:w="110"/>
              <w:left w:type="dxa" w:w="150"/>
              <w:bottom w:type="dxa" w:w="110"/>
              <w:right w:type="dxa" w:w="150"/>
            </w:tcMar>
          </w:tcPr>
          <w:p>
            <w:pPr>
              <w:spacing w:after="70"/>
            </w:pPr>
            <w:r>
              <w:rPr>
                <w:rFonts w:ascii="Calibri" w:cs="Calibri" w:eastAsia="Calibri" w:hAnsi="Calibri"/>
                <w:b/>
                <w:bCs/>
                <w:i w:val="false"/>
                <w:iCs w:val="false"/>
                <w:color w:val="000000"/>
                <w:sz w:val="19"/>
                <w:szCs w:val="19"/>
              </w:rPr>
              <w:t xml:space="preserve">Decision required before Week 1 RTL</w:t>
            </w:r>
          </w:p>
          <w:p>
            <w:pPr>
              <w:spacing w:after="40" w:before="40"/>
            </w:pPr>
            <w:r>
              <w:rPr>
                <w:rFonts w:ascii="Calibri" w:cs="Calibri" w:eastAsia="Calibri" w:hAnsi="Calibri"/>
                <w:b w:val="false"/>
                <w:bCs w:val="false"/>
                <w:i w:val="false"/>
                <w:iCs w:val="false"/>
                <w:color w:val="000000"/>
                <w:sz w:val="18"/>
                <w:szCs w:val="18"/>
              </w:rPr>
              <w:t xml:space="preserve">Option A — zero-beat injection: the generator fabricates zero-valued activation beats at tensor edges. The tile cycle count becomes data-independent, the tile sequencer counters remain trivial, and K_TILE_LAST timing is fixed. Cost: cycles spent multiplying by zero on padded tiles.</w:t>
            </w:r>
          </w:p>
          <w:p>
            <w:pPr>
              <w:spacing w:after="40" w:before="40"/>
            </w:pPr>
            <w:r>
              <w:rPr>
                <w:rFonts w:ascii="Calibri" w:cs="Calibri" w:eastAsia="Calibri" w:hAnsi="Calibri"/>
                <w:b w:val="false"/>
                <w:bCs w:val="false"/>
                <w:i w:val="false"/>
                <w:iCs w:val="false"/>
                <w:color w:val="000000"/>
                <w:sz w:val="18"/>
                <w:szCs w:val="18"/>
              </w:rPr>
              <w:t xml:space="preserve">Option B — downstream suppression: only real pixels are streamed and the writes corresponding to padded positions are suppressed later. Cost: the tile cycle count becomes data-dependent, which complicates the tile sequencer and the accumulator K_TILE_LAST timing.</w:t>
            </w:r>
          </w:p>
          <w:p>
            <w:pPr>
              <w:spacing w:after="40" w:before="40"/>
            </w:pPr>
            <w:r>
              <w:rPr>
                <w:rFonts w:ascii="Calibri" w:cs="Calibri" w:eastAsia="Calibri" w:hAnsi="Calibri"/>
                <w:b w:val="false"/>
                <w:bCs w:val="false"/>
                <w:i w:val="false"/>
                <w:iCs w:val="false"/>
                <w:color w:val="000000"/>
                <w:sz w:val="18"/>
                <w:szCs w:val="18"/>
              </w:rPr>
              <w:t xml:space="preserve">This decision propagates into the tile sequencer, the accumulator address timing and the drain path. It must be recorded here once made, because a later reversal invalidates verified timing in three modules.</w:t>
            </w:r>
          </w:p>
        </w:tc>
      </w:tr>
    </w:tbl>
    <w:p>
      <w:r>
        <w:br w:type="page"/>
      </w:r>
    </w:p>
    <w:p>
      <w:pPr>
        <w:pStyle w:val="Heading1"/>
        <w:spacing w:after="140" w:before="300"/>
      </w:pPr>
      <w:r>
        <w:rPr>
          <w:rFonts w:ascii="Calibri" w:cs="Calibri" w:eastAsia="Calibri" w:hAnsi="Calibri"/>
          <w:b/>
          <w:bCs/>
          <w:color w:val="1F3864"/>
          <w:sz w:val="30"/>
          <w:szCs w:val="30"/>
        </w:rPr>
        <w:t xml:space="preserve">Chapter 14 — YOLOv8n Primitive Engines and Sequencing</w:t>
      </w:r>
    </w:p>
    <w:p>
      <w:pPr>
        <w:spacing w:after="80" w:before="80"/>
        <w:jc w:val="left"/>
      </w:pPr>
      <w:r>
        <w:rPr>
          <w:rFonts w:ascii="Calibri" w:cs="Calibri" w:eastAsia="Calibri" w:hAnsi="Calibri"/>
          <w:b w:val="false"/>
          <w:bCs w:val="false"/>
          <w:i w:val="false"/>
          <w:iCs w:val="false"/>
          <w:color w:val="000000"/>
          <w:sz w:val="19"/>
          <w:szCs w:val="19"/>
        </w:rPr>
        <w:t xml:space="preserve">The architecture treats YOLOv8n support as a set of primitive engines plus a sequencer, not as a monolithic YOLO block. This keeps RTL complexity bounded and makes each primitive independently verifiable against the Python reference.</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1800"/>
        <w:gridCol w:w="3800"/>
        <w:gridCol w:w="3760"/>
      </w:tblGrid>
      <w:tr>
        <w:trPr>
          <w:tblHeader/>
        </w:trPr>
        <w:tc>
          <w:tcPr>
            <w:tcW w:type="dxa" w:w="18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Target</w:t>
            </w:r>
          </w:p>
        </w:tc>
        <w:tc>
          <w:tcPr>
            <w:tcW w:type="dxa" w:w="38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Primitive decomposition</w:t>
            </w:r>
          </w:p>
        </w:tc>
        <w:tc>
          <w:tcPr>
            <w:tcW w:type="dxa" w:w="37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Minimum verification</w:t>
            </w:r>
          </w:p>
        </w:tc>
      </w:tr>
      <w:tr>
        <w:trPr>
          <w:tblHeader w:val="false"/>
        </w:trPr>
        <w:tc>
          <w:tcPr>
            <w:tcW w:type="dxa" w:w="18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CBS block</w:t>
            </w:r>
          </w:p>
        </w:tc>
        <w:tc>
          <w:tcPr>
            <w:tcW w:type="dxa" w:w="38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Conv2D, requantisation, LUT-SiLU.</w:t>
            </w:r>
          </w:p>
        </w:tc>
        <w:tc>
          <w:tcPr>
            <w:tcW w:type="dxa" w:w="3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Five-layer CBS stack compared to the Python reference at every intermediate tensor.</w:t>
            </w:r>
          </w:p>
        </w:tc>
      </w:tr>
      <w:tr>
        <w:trPr>
          <w:tblHeader w:val="false"/>
        </w:trPr>
        <w:tc>
          <w:tcPr>
            <w:tcW w:type="dxa" w:w="18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Bottleneck</w:t>
            </w:r>
          </w:p>
        </w:tc>
        <w:tc>
          <w:tcPr>
            <w:tcW w:type="dxa" w:w="38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Two CBS blocks plus optional residual add.</w:t>
            </w:r>
          </w:p>
        </w:tc>
        <w:tc>
          <w:tcPr>
            <w:tcW w:type="dxa" w:w="3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Residual path with mismatched input scales.</w:t>
            </w:r>
          </w:p>
        </w:tc>
      </w:tr>
      <w:tr>
        <w:trPr>
          <w:tblHeader w:val="false"/>
        </w:trPr>
        <w:tc>
          <w:tcPr>
            <w:tcW w:type="dxa" w:w="18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C2f</w:t>
            </w:r>
          </w:p>
        </w:tc>
        <w:tc>
          <w:tcPr>
            <w:tcW w:type="dxa" w:w="38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Split, n bottlenecks, concat, conv — sequenced by the C2f sequencer.</w:t>
            </w:r>
          </w:p>
        </w:tc>
        <w:tc>
          <w:tcPr>
            <w:tcW w:type="dxa" w:w="3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Small synthetic C2f block compared to the Python reference; variable bottleneck count.</w:t>
            </w:r>
          </w:p>
        </w:tc>
      </w:tr>
      <w:tr>
        <w:trPr>
          <w:tblHeader w:val="false"/>
        </w:trPr>
        <w:tc>
          <w:tcPr>
            <w:tcW w:type="dxa" w:w="18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SPPF</w:t>
            </w:r>
          </w:p>
        </w:tc>
        <w:tc>
          <w:tcPr>
            <w:tcW w:type="dxa" w:w="38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Repeated 5×5 maxpool with concatenation of intermediate results.</w:t>
            </w:r>
          </w:p>
        </w:tc>
        <w:tc>
          <w:tcPr>
            <w:tcW w:type="dxa" w:w="3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Repeated pooling with concat, compared to reference.</w:t>
            </w:r>
          </w:p>
        </w:tc>
      </w:tr>
      <w:tr>
        <w:trPr>
          <w:tblHeader w:val="false"/>
        </w:trPr>
        <w:tc>
          <w:tcPr>
            <w:tcW w:type="dxa" w:w="18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Upsample</w:t>
            </w:r>
          </w:p>
        </w:tc>
        <w:tc>
          <w:tcPr>
            <w:tcW w:type="dxa" w:w="38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Nearest-neighbour address repeat.</w:t>
            </w:r>
          </w:p>
        </w:tc>
        <w:tc>
          <w:tcPr>
            <w:tcW w:type="dxa" w:w="3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2× upsample bit-exactness.</w:t>
            </w:r>
          </w:p>
        </w:tc>
      </w:tr>
      <w:tr>
        <w:trPr>
          <w:tblHeader w:val="false"/>
        </w:trPr>
        <w:tc>
          <w:tcPr>
            <w:tcW w:type="dxa" w:w="18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Neck concatenation</w:t>
            </w:r>
          </w:p>
        </w:tc>
        <w:tc>
          <w:tcPr>
            <w:tcW w:type="dxa" w:w="38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Cross-scale concat via adjacent o_base writes.</w:t>
            </w:r>
          </w:p>
        </w:tc>
        <w:tc>
          <w:tcPr>
            <w:tcW w:type="dxa" w:w="3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Tensor lifetime across a long-range skip.</w:t>
            </w:r>
          </w:p>
        </w:tc>
      </w:tr>
      <w:tr>
        <w:trPr>
          <w:tblHeader w:val="false"/>
        </w:trPr>
        <w:tc>
          <w:tcPr>
            <w:tcW w:type="dxa" w:w="18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Detect head</w:t>
            </w:r>
          </w:p>
        </w:tc>
        <w:tc>
          <w:tcPr>
            <w:tcW w:type="dxa" w:w="38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Convolution at three scales plus raw tensor export.</w:t>
            </w:r>
          </w:p>
        </w:tc>
        <w:tc>
          <w:tcPr>
            <w:tcW w:type="dxa" w:w="3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Per-scale output layout compared to host expectation.</w:t>
            </w:r>
          </w:p>
        </w:tc>
      </w:tr>
    </w:tbl>
    <w:p>
      <w:pPr>
        <w:pStyle w:val="Heading2"/>
        <w:spacing w:after="100" w:before="220"/>
      </w:pPr>
      <w:r>
        <w:rPr>
          <w:rFonts w:ascii="Calibri" w:cs="Calibri" w:eastAsia="Calibri" w:hAnsi="Calibri"/>
          <w:b/>
          <w:bCs/>
          <w:color w:val="1F3864"/>
          <w:sz w:val="23"/>
          <w:szCs w:val="23"/>
        </w:rPr>
        <w:t xml:space="preserve">14.1 Operator Dispatch and Engine Routing</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000"/>
        <w:gridCol w:w="2200"/>
        <w:gridCol w:w="2600"/>
        <w:gridCol w:w="2560"/>
      </w:tblGrid>
      <w:tr>
        <w:trPr>
          <w:tblHeader/>
        </w:trPr>
        <w:tc>
          <w:tcPr>
            <w:tcW w:type="dxa" w:w="20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6"/>
                <w:szCs w:val="16"/>
              </w:rPr>
              <w:t xml:space="preserve">OP_TYPE</w:t>
            </w:r>
          </w:p>
        </w:tc>
        <w:tc>
          <w:tcPr>
            <w:tcW w:type="dxa" w:w="22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6"/>
                <w:szCs w:val="16"/>
              </w:rPr>
              <w:t xml:space="preserve">Target engine</w:t>
            </w:r>
          </w:p>
        </w:tc>
        <w:tc>
          <w:tcPr>
            <w:tcW w:type="dxa" w:w="26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6"/>
                <w:szCs w:val="16"/>
              </w:rPr>
              <w:t xml:space="preserve">Data dependencies</w:t>
            </w:r>
          </w:p>
        </w:tc>
        <w:tc>
          <w:tcPr>
            <w:tcW w:type="dxa" w:w="25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6"/>
                <w:szCs w:val="16"/>
              </w:rPr>
              <w:t xml:space="preserve">Error cases</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OP_CONV_GEMM</w:t>
            </w:r>
          </w:p>
        </w:tc>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Conv/GEMM core</w:t>
            </w:r>
          </w:p>
        </w:tc>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Activation, weight, bias/quant, output</w:t>
            </w:r>
          </w:p>
        </w:tc>
        <w:tc>
          <w:tcPr>
            <w:tcW w:type="dxa" w:w="25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Invalid M/N/K; missing banks.</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OP_CONV2D</w:t>
            </w:r>
          </w:p>
        </w:tc>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Window generator + core</w:t>
            </w:r>
          </w:p>
        </w:tc>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Activation, weight, bias/quant, output</w:t>
            </w:r>
          </w:p>
        </w:tc>
        <w:tc>
          <w:tcPr>
            <w:tcW w:type="dxa" w:w="25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Illegal stride/padding combination.</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OP_SPLIT</w:t>
            </w:r>
          </w:p>
        </w:tc>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Addressing</w:t>
            </w:r>
          </w:p>
        </w:tc>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Source tensor</w:t>
            </w:r>
          </w:p>
        </w:tc>
        <w:tc>
          <w:tcPr>
            <w:tcW w:type="dxa" w:w="25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Offset beyond tensor extent.</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OP_CONCAT</w:t>
            </w:r>
          </w:p>
        </w:tc>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Addressing</w:t>
            </w:r>
          </w:p>
        </w:tc>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Two or more source tensors</w:t>
            </w:r>
          </w:p>
        </w:tc>
        <w:tc>
          <w:tcPr>
            <w:tcW w:type="dxa" w:w="25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Shape mismatch on the concatenation axis.</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OP_UPSAMPLE</w:t>
            </w:r>
          </w:p>
        </w:tc>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Addressing</w:t>
            </w:r>
          </w:p>
        </w:tc>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Source tensor</w:t>
            </w:r>
          </w:p>
        </w:tc>
        <w:tc>
          <w:tcPr>
            <w:tcW w:type="dxa" w:w="25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Unsupported scale factor.</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OP_MAXPOOL</w:t>
            </w:r>
          </w:p>
        </w:tc>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Pooling engine</w:t>
            </w:r>
          </w:p>
        </w:tc>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Source tensor</w:t>
            </w:r>
          </w:p>
        </w:tc>
        <w:tc>
          <w:tcPr>
            <w:tcW w:type="dxa" w:w="25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Unsupported window size.</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OP_SPPF</w:t>
            </w:r>
          </w:p>
        </w:tc>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Pooling engine (repeated)</w:t>
            </w:r>
          </w:p>
        </w:tc>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Source tensor</w:t>
            </w:r>
          </w:p>
        </w:tc>
        <w:tc>
          <w:tcPr>
            <w:tcW w:type="dxa" w:w="25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Unsupported repeat count.</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OP_LUT_SILU</w:t>
            </w:r>
          </w:p>
        </w:tc>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Activation unit</w:t>
            </w:r>
          </w:p>
        </w:tc>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LUT table loaded</w:t>
            </w:r>
          </w:p>
        </w:tc>
        <w:tc>
          <w:tcPr>
            <w:tcW w:type="dxa" w:w="25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LUT not loaded for this layer.</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OP_RAW_EXPORT</w:t>
            </w:r>
          </w:p>
        </w:tc>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Output path</w:t>
            </w:r>
          </w:p>
        </w:tc>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Output tensor</w:t>
            </w:r>
          </w:p>
        </w:tc>
        <w:tc>
          <w:tcPr>
            <w:tcW w:type="dxa" w:w="25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Layout mismatch with host expectation.</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Unsupported encoding</w:t>
            </w:r>
          </w:p>
        </w:tc>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None</w:t>
            </w:r>
          </w:p>
        </w:tc>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w:t>
            </w:r>
          </w:p>
        </w:tc>
        <w:tc>
          <w:tcPr>
            <w:tcW w:type="dxa" w:w="25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error_unsupported_op sticky bit; no engine starts.</w:t>
            </w:r>
          </w:p>
        </w:tc>
      </w:tr>
    </w:tbl>
    <w:p>
      <w:pPr>
        <w:spacing w:after="80" w:before="80"/>
        <w:jc w:val="left"/>
      </w:pPr>
      <w:r>
        <w:rPr>
          <w:rFonts w:ascii="Calibri" w:cs="Calibri" w:eastAsia="Calibri" w:hAnsi="Calibri"/>
          <w:b w:val="false"/>
          <w:bCs w:val="false"/>
          <w:i w:val="false"/>
          <w:iCs w:val="false"/>
          <w:color w:val="000000"/>
          <w:sz w:val="19"/>
          <w:szCs w:val="19"/>
        </w:rPr>
        <w:t xml:space="preserve">An unsupported or malformed operation must never start an engine. It sets the sticky error bit and halts descriptor issue, so that a configuration defect surfaces as an error rather than as silently wrong arithmetic.</w:t>
      </w:r>
    </w:p>
    <w:p>
      <w:r>
        <w:br w:type="page"/>
      </w:r>
    </w:p>
    <w:p>
      <w:pPr>
        <w:pStyle w:val="Heading1"/>
        <w:spacing w:after="140" w:before="300"/>
      </w:pPr>
      <w:r>
        <w:rPr>
          <w:rFonts w:ascii="Calibri" w:cs="Calibri" w:eastAsia="Calibri" w:hAnsi="Calibri"/>
          <w:b/>
          <w:bCs/>
          <w:color w:val="1F3864"/>
          <w:sz w:val="30"/>
          <w:szCs w:val="30"/>
        </w:rPr>
        <w:t xml:space="preserve">Chapter 15 — Detect Output and Host Postprocessing Boundary</w:t>
      </w:r>
    </w:p>
    <w:p>
      <w:pPr>
        <w:spacing w:after="80" w:before="80"/>
        <w:jc w:val="left"/>
      </w:pPr>
      <w:r>
        <w:rPr>
          <w:rFonts w:ascii="Calibri" w:cs="Calibri" w:eastAsia="Calibri" w:hAnsi="Calibri"/>
          <w:b w:val="false"/>
          <w:bCs w:val="false"/>
          <w:i w:val="false"/>
          <w:iCs w:val="false"/>
          <w:color w:val="000000"/>
          <w:sz w:val="19"/>
          <w:szCs w:val="19"/>
        </w:rPr>
        <w:t xml:space="preserve">The hardware produces raw detection tensors at three scales. The host decodes those tensors into bounding boxes, applies confidence filtering, performs non-maximum suppression and renders results. This boundary is fixed for this revision and every diagram, slide and claim must respect it.</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600"/>
        <w:gridCol w:w="2600"/>
        <w:gridCol w:w="4160"/>
      </w:tblGrid>
      <w:tr>
        <w:trPr>
          <w:tblHeader/>
        </w:trPr>
        <w:tc>
          <w:tcPr>
            <w:tcW w:type="dxa" w:w="26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Function</w:t>
            </w:r>
          </w:p>
        </w:tc>
        <w:tc>
          <w:tcPr>
            <w:tcW w:type="dxa" w:w="26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v5.0 location</w:t>
            </w:r>
          </w:p>
        </w:tc>
        <w:tc>
          <w:tcPr>
            <w:tcW w:type="dxa" w:w="41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Why</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Detect-head convolution</w:t>
            </w:r>
          </w:p>
        </w:tc>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Hardware</w:t>
            </w:r>
          </w:p>
        </w:tc>
        <w:tc>
          <w:tcPr>
            <w:tcW w:type="dxa" w:w="41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Compute-heavy convolution; maps to the existing core.</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Raw tensor export</w:t>
            </w:r>
          </w:p>
        </w:tc>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Hardware</w:t>
            </w:r>
          </w:p>
        </w:tc>
        <w:tc>
          <w:tcPr>
            <w:tcW w:type="dxa" w:w="41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Direct output SRAM read via DMA.</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Box decoding</w:t>
            </w:r>
          </w:p>
        </w:tc>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Host software</w:t>
            </w:r>
          </w:p>
        </w:tc>
        <w:tc>
          <w:tcPr>
            <w:tcW w:type="dxa" w:w="41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Irregular arithmetic, low density, poor systolic fit.</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Confidence filtering</w:t>
            </w:r>
          </w:p>
        </w:tc>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Host software</w:t>
            </w:r>
          </w:p>
        </w:tc>
        <w:tc>
          <w:tcPr>
            <w:tcW w:type="dxa" w:w="41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Data-dependent control flow.</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Non-maximum suppression</w:t>
            </w:r>
          </w:p>
        </w:tc>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Host software</w:t>
            </w:r>
          </w:p>
        </w:tc>
        <w:tc>
          <w:tcPr>
            <w:tcW w:type="dxa" w:w="41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Sorting and pairwise comparison; not a systolic workload.</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Rendering</w:t>
            </w:r>
          </w:p>
        </w:tc>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Host software</w:t>
            </w:r>
          </w:p>
        </w:tc>
        <w:tc>
          <w:tcPr>
            <w:tcW w:type="dxa" w:w="41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Presentation layer.</w:t>
            </w:r>
          </w:p>
        </w:tc>
      </w:tr>
    </w:tbl>
    <w:p>
      <w:r>
        <w:br w:type="page"/>
      </w:r>
    </w:p>
    <w:p>
      <w:pPr>
        <w:pStyle w:val="Heading1"/>
        <w:spacing w:after="140" w:before="300"/>
      </w:pPr>
      <w:r>
        <w:rPr>
          <w:rFonts w:ascii="Calibri" w:cs="Calibri" w:eastAsia="Calibri" w:hAnsi="Calibri"/>
          <w:b/>
          <w:bCs/>
          <w:color w:val="1F3864"/>
          <w:sz w:val="30"/>
          <w:szCs w:val="30"/>
        </w:rPr>
        <w:t xml:space="preserve">Chapter 16 — Throughput Position and Performance Architecture</w:t>
      </w:r>
    </w:p>
    <w:p>
      <w:pPr>
        <w:spacing w:after="80" w:before="80"/>
        <w:jc w:val="left"/>
      </w:pPr>
      <w:r>
        <w:rPr>
          <w:rFonts w:ascii="Calibri" w:cs="Calibri" w:eastAsia="Calibri" w:hAnsi="Calibri"/>
          <w:b w:val="false"/>
          <w:bCs w:val="false"/>
          <w:i w:val="false"/>
          <w:iCs w:val="false"/>
          <w:color w:val="000000"/>
          <w:sz w:val="19"/>
          <w:szCs w:val="19"/>
        </w:rPr>
        <w:t xml:space="preserve">This section states the throughput boundary explicitly. The arithmetic below is derivable by any reader in a single line, so stating it early is a credibility requirement rather than a concession. It is reproduced in the thesis abstract.</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3800"/>
        <w:gridCol w:w="5560"/>
      </w:tblGrid>
      <w:tr>
        <w:trPr>
          <w:tblHeader/>
        </w:trPr>
        <w:tc>
          <w:tcPr>
            <w:tcW w:type="dxa" w:w="38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Quantity</w:t>
            </w:r>
          </w:p>
        </w:tc>
        <w:tc>
          <w:tcPr>
            <w:tcW w:type="dxa" w:w="55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Value</w:t>
            </w:r>
          </w:p>
        </w:tc>
      </w:tr>
      <w:tr>
        <w:trPr>
          <w:tblHeader w:val="false"/>
        </w:trPr>
        <w:tc>
          <w:tcPr>
            <w:tcW w:type="dxa" w:w="38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YOLOv8n compute at 640×640</w:t>
            </w:r>
          </w:p>
        </w:tc>
        <w:tc>
          <w:tcPr>
            <w:tcW w:type="dxa" w:w="55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≈4.4 GMAC per frame</w:t>
            </w:r>
          </w:p>
        </w:tc>
      </w:tr>
      <w:tr>
        <w:trPr>
          <w:tblHeader w:val="false"/>
        </w:trPr>
        <w:tc>
          <w:tcPr>
            <w:tcW w:type="dxa" w:w="38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Array peak</w:t>
            </w:r>
          </w:p>
        </w:tc>
        <w:tc>
          <w:tcPr>
            <w:tcW w:type="dxa" w:w="55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64 MAC/cycle</w:t>
            </w:r>
          </w:p>
        </w:tc>
      </w:tr>
      <w:tr>
        <w:trPr>
          <w:tblHeader w:val="false"/>
        </w:trPr>
        <w:tc>
          <w:tcPr>
            <w:tcW w:type="dxa" w:w="38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Cycles per frame at 100% utilization</w:t>
            </w:r>
          </w:p>
        </w:tc>
        <w:tc>
          <w:tcPr>
            <w:tcW w:type="dxa" w:w="55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≈68.75 million</w:t>
            </w:r>
          </w:p>
        </w:tc>
      </w:tr>
      <w:tr>
        <w:trPr>
          <w:tblHeader w:val="false"/>
        </w:trPr>
        <w:tc>
          <w:tcPr>
            <w:tcW w:type="dxa" w:w="38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Frame time at 200 MHz, perfect utilization</w:t>
            </w:r>
          </w:p>
        </w:tc>
        <w:tc>
          <w:tcPr>
            <w:tcW w:type="dxa" w:w="55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≈0.34 s</w:t>
            </w:r>
          </w:p>
        </w:tc>
      </w:tr>
      <w:tr>
        <w:trPr>
          <w:tblHeader w:val="false"/>
        </w:trPr>
        <w:tc>
          <w:tcPr>
            <w:tcW w:type="dxa" w:w="38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Realistic frame time with stalls and DMA wait</w:t>
            </w:r>
          </w:p>
        </w:tc>
        <w:tc>
          <w:tcPr>
            <w:tcW w:type="dxa" w:w="55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≈1–2 s</w:t>
            </w:r>
          </w:p>
        </w:tc>
      </w:tr>
      <w:tr>
        <w:trPr>
          <w:tblHeader w:val="false"/>
        </w:trPr>
        <w:tc>
          <w:tcPr>
            <w:tcW w:type="dxa" w:w="38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Architectural deliverable</w:t>
            </w:r>
          </w:p>
        </w:tc>
        <w:tc>
          <w:tcPr>
            <w:tcW w:type="dxa" w:w="55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Correct INT8 inference plus a characterised scaling analysis — not real-time detection</w:t>
            </w:r>
          </w:p>
        </w:tc>
      </w:tr>
    </w:tbl>
    <w:p>
      <w:pPr>
        <w:pStyle w:val="Heading2"/>
        <w:spacing w:after="100" w:before="220"/>
      </w:pPr>
      <w:r>
        <w:rPr>
          <w:rFonts w:ascii="Calibri" w:cs="Calibri" w:eastAsia="Calibri" w:hAnsi="Calibri"/>
          <w:b/>
          <w:bCs/>
          <w:color w:val="1F3864"/>
          <w:sz w:val="23"/>
          <w:szCs w:val="23"/>
        </w:rPr>
        <w:t xml:space="preserve">16.1 Measurement Architecture</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600"/>
        <w:gridCol w:w="3400"/>
        <w:gridCol w:w="3360"/>
      </w:tblGrid>
      <w:tr>
        <w:trPr>
          <w:tblHeader/>
        </w:trPr>
        <w:tc>
          <w:tcPr>
            <w:tcW w:type="dxa" w:w="26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Metric</w:t>
            </w:r>
          </w:p>
        </w:tc>
        <w:tc>
          <w:tcPr>
            <w:tcW w:type="dxa" w:w="34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Definition</w:t>
            </w:r>
          </w:p>
        </w:tc>
        <w:tc>
          <w:tcPr>
            <w:tcW w:type="dxa" w:w="33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How measured</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Peak MAC/cycle</w:t>
            </w:r>
          </w:p>
        </w:tc>
        <w:tc>
          <w:tcPr>
            <w:tcW w:type="dxa" w:w="3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64 for the 8×8 array.</w:t>
            </w:r>
          </w:p>
        </w:tc>
        <w:tc>
          <w:tcPr>
            <w:tcW w:type="dxa" w:w="3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Analytical from array size.</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Compute cycles</w:t>
            </w:r>
          </w:p>
        </w:tc>
        <w:tc>
          <w:tcPr>
            <w:tcW w:type="dxa" w:w="3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Cycles with the compute FSM active.</w:t>
            </w:r>
          </w:p>
        </w:tc>
        <w:tc>
          <w:tcPr>
            <w:tcW w:type="dxa" w:w="3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CSR counter.</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MAC-active cycles</w:t>
            </w:r>
          </w:p>
        </w:tc>
        <w:tc>
          <w:tcPr>
            <w:tcW w:type="dxa" w:w="3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Cycles with at least one PE performing a useful multiply.</w:t>
            </w:r>
          </w:p>
        </w:tc>
        <w:tc>
          <w:tcPr>
            <w:tcW w:type="dxa" w:w="3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CSR counter.</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Array utilization</w:t>
            </w:r>
          </w:p>
        </w:tc>
        <w:tc>
          <w:tcPr>
            <w:tcW w:type="dxa" w:w="3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MAC-active ÷ compute cycles, measured per layer.</w:t>
            </w:r>
          </w:p>
        </w:tc>
        <w:tc>
          <w:tcPr>
            <w:tcW w:type="dxa" w:w="3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CSR counters plus host attribution.</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DMA-wait cycles</w:t>
            </w:r>
          </w:p>
        </w:tc>
        <w:tc>
          <w:tcPr>
            <w:tcW w:type="dxa" w:w="3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Cycles stalled awaiting a DMA response.</w:t>
            </w:r>
          </w:p>
        </w:tc>
        <w:tc>
          <w:tcPr>
            <w:tcW w:type="dxa" w:w="3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CSR counter.</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Gate count, f_max</w:t>
            </w:r>
          </w:p>
        </w:tc>
        <w:tc>
          <w:tcPr>
            <w:tcW w:type="dxa" w:w="3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Post-synthesis reports.</w:t>
            </w:r>
          </w:p>
        </w:tc>
        <w:tc>
          <w:tcPr>
            <w:tcW w:type="dxa" w:w="3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Yosys and/or Vivado.</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Area, power</w:t>
            </w:r>
          </w:p>
        </w:tc>
        <w:tc>
          <w:tcPr>
            <w:tcW w:type="dxa" w:w="3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Post-synthesis area and switching-activity estimation.</w:t>
            </w:r>
          </w:p>
        </w:tc>
        <w:tc>
          <w:tcPr>
            <w:tcW w:type="dxa" w:w="3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Tool reports with stated methodology.</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mAP</w:t>
            </w:r>
          </w:p>
        </w:tc>
        <w:tc>
          <w:tcPr>
            <w:tcW w:type="dxa" w:w="3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Detection accuracy against the FP32 reference.</w:t>
            </w:r>
          </w:p>
        </w:tc>
        <w:tc>
          <w:tcPr>
            <w:tcW w:type="dxa" w:w="3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COCO subset harness.</w:t>
            </w:r>
          </w:p>
        </w:tc>
      </w:tr>
    </w:tbl>
    <w:p>
      <w:pPr>
        <w:spacing w:after="80" w:before="80"/>
        <w:jc w:val="left"/>
      </w:pPr>
      <w:r>
        <w:rPr>
          <w:rFonts w:ascii="Calibri" w:cs="Calibri" w:eastAsia="Calibri" w:hAnsi="Calibri"/>
          <w:b w:val="false"/>
          <w:bCs w:val="false"/>
          <w:i w:val="false"/>
          <w:iCs w:val="false"/>
          <w:color w:val="000000"/>
          <w:sz w:val="19"/>
          <w:szCs w:val="19"/>
        </w:rPr>
        <w:t xml:space="preserve">Kernel-level and full-system metrics are reported separately and never merged into a single speedup figure. If full-system time is worse because of transfer overhead, that result is stated plainly: the prototype demonstrates functional offload and kernel acceleration, and production speedup requires host integration this prototype does not have.</w:t>
      </w:r>
    </w:p>
    <w:p>
      <w:r>
        <w:br w:type="page"/>
      </w:r>
    </w:p>
    <w:p>
      <w:pPr>
        <w:pStyle w:val="Heading1"/>
        <w:spacing w:after="140" w:before="300"/>
      </w:pPr>
      <w:r>
        <w:rPr>
          <w:rFonts w:ascii="Calibri" w:cs="Calibri" w:eastAsia="Calibri" w:hAnsi="Calibri"/>
          <w:b/>
          <w:bCs/>
          <w:color w:val="1F3864"/>
          <w:sz w:val="30"/>
          <w:szCs w:val="30"/>
        </w:rPr>
        <w:t xml:space="preserve">Chapter 17 — Verification Strategy and Coverage</w:t>
      </w:r>
    </w:p>
    <w:p>
      <w:pPr>
        <w:spacing w:after="80" w:before="80"/>
        <w:jc w:val="left"/>
      </w:pPr>
      <w:r>
        <w:rPr>
          <w:rFonts w:ascii="Calibri" w:cs="Calibri" w:eastAsia="Calibri" w:hAnsi="Calibri"/>
          <w:b w:val="false"/>
          <w:bCs w:val="false"/>
          <w:i w:val="false"/>
          <w:iCs w:val="false"/>
          <w:color w:val="000000"/>
          <w:sz w:val="19"/>
          <w:szCs w:val="19"/>
        </w:rPr>
        <w:t xml:space="preserve">Verification is built in from the start. Every hardware block has unit tests before integration, and every primary-target block has a golden-model comparison before it may be claimed. The methodology established during Phase 0 — a Python reference generating $readmemh vectors consumed by a SystemVerilog regression harness — is carried forward unchanged and is the strongest element of the project.</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400"/>
        <w:gridCol w:w="6960"/>
      </w:tblGrid>
      <w:tr>
        <w:trPr>
          <w:tblHeader/>
        </w:trPr>
        <w:tc>
          <w:tcPr>
            <w:tcW w:type="dxa" w:w="24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Test family</w:t>
            </w:r>
          </w:p>
        </w:tc>
        <w:tc>
          <w:tcPr>
            <w:tcW w:type="dxa" w:w="69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Examples</w:t>
            </w:r>
          </w:p>
        </w:tc>
      </w:tr>
      <w:tr>
        <w:trPr>
          <w:tblHeader w:val="false"/>
        </w:trPr>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TC-CORE</w:t>
            </w:r>
          </w:p>
        </w:tc>
        <w:tc>
          <w:tcPr>
            <w:tcW w:type="dxa" w:w="6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PE signed arithmetic, registered act_out, array timing, SDDU delay and metadata alignment.</w:t>
            </w:r>
          </w:p>
        </w:tc>
      </w:tr>
      <w:tr>
        <w:trPr>
          <w:tblHeader w:val="false"/>
        </w:trPr>
        <w:tc>
          <w:tcPr>
            <w:tcW w:type="dxa" w:w="2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TC-ACC</w:t>
            </w:r>
          </w:p>
        </w:tc>
        <w:tc>
          <w:tcPr>
            <w:tcW w:type="dxa" w:w="6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K_TILE_FIRST/LAST cases, RAW hazard bypass, final sub-tile drain, adversarial stall-on-bypass.</w:t>
            </w:r>
          </w:p>
        </w:tc>
      </w:tr>
      <w:tr>
        <w:trPr>
          <w:tblHeader w:val="false"/>
        </w:trPr>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TC-REQ</w:t>
            </w:r>
          </w:p>
        </w:tc>
        <w:tc>
          <w:tcPr>
            <w:tcW w:type="dxa" w:w="6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Signed shift, HALF_UP tie-breaking, saturation, activation mode selection.</w:t>
            </w:r>
          </w:p>
        </w:tc>
      </w:tr>
      <w:tr>
        <w:trPr>
          <w:tblHeader w:val="false"/>
        </w:trPr>
        <w:tc>
          <w:tcPr>
            <w:tcW w:type="dxa" w:w="2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TC-WGEN</w:t>
            </w:r>
          </w:p>
        </w:tc>
        <w:tc>
          <w:tcPr>
            <w:tcW w:type="dxa" w:w="6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Counter sequencing, padding at edges and corners, stride 1 and 2.</w:t>
            </w:r>
          </w:p>
        </w:tc>
      </w:tr>
      <w:tr>
        <w:trPr>
          <w:tblHeader w:val="false"/>
        </w:trPr>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TC-E2E</w:t>
            </w:r>
          </w:p>
        </w:tc>
        <w:tc>
          <w:tcPr>
            <w:tcW w:type="dxa" w:w="6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Single-layer bit-exactness, multi-K, negative tensors, randomised sweep.</w:t>
            </w:r>
          </w:p>
        </w:tc>
      </w:tr>
      <w:tr>
        <w:trPr>
          <w:tblHeader w:val="false"/>
        </w:trPr>
        <w:tc>
          <w:tcPr>
            <w:tcW w:type="dxa" w:w="2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TC-SILU</w:t>
            </w:r>
          </w:p>
        </w:tc>
        <w:tc>
          <w:tcPr>
            <w:tcW w:type="dxa" w:w="6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All 256 codes, per-layer table reload, mode switching.</w:t>
            </w:r>
          </w:p>
        </w:tc>
      </w:tr>
      <w:tr>
        <w:trPr>
          <w:tblHeader w:val="false"/>
        </w:trPr>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TC-CHAIN</w:t>
            </w:r>
          </w:p>
        </w:tc>
        <w:tc>
          <w:tcPr>
            <w:tcW w:type="dxa" w:w="6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Two-layer handoff, five-layer CBS stack, backpressure.</w:t>
            </w:r>
          </w:p>
        </w:tc>
      </w:tr>
      <w:tr>
        <w:trPr>
          <w:tblHeader w:val="false"/>
        </w:trPr>
        <w:tc>
          <w:tcPr>
            <w:tcW w:type="dxa" w:w="2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TC-POOL / TC-SPPF</w:t>
            </w:r>
          </w:p>
        </w:tc>
        <w:tc>
          <w:tcPr>
            <w:tcW w:type="dxa" w:w="6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2×2 and 5×5 pooling, repeated pooling with concatenation.</w:t>
            </w:r>
          </w:p>
        </w:tc>
      </w:tr>
      <w:tr>
        <w:trPr>
          <w:tblHeader w:val="false"/>
        </w:trPr>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TC-CAT / TC-SPLIT / TC-UP</w:t>
            </w:r>
          </w:p>
        </w:tc>
        <w:tc>
          <w:tcPr>
            <w:tcW w:type="dxa" w:w="6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Addressing-only operator validation.</w:t>
            </w:r>
          </w:p>
        </w:tc>
      </w:tr>
      <w:tr>
        <w:trPr>
          <w:tblHeader w:val="false"/>
        </w:trPr>
        <w:tc>
          <w:tcPr>
            <w:tcW w:type="dxa" w:w="2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TC-TT / TC-RING / TC-GS / TC-C2F</w:t>
            </w:r>
          </w:p>
        </w:tc>
        <w:tc>
          <w:tcPr>
            <w:tcW w:type="dxa" w:w="6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Tensor Table, descriptor ring, scheduler branch and rejoin, C2f sequencing.</w:t>
            </w:r>
          </w:p>
        </w:tc>
      </w:tr>
      <w:tr>
        <w:trPr>
          <w:tblHeader w:val="false"/>
        </w:trPr>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TC-EW / TC-HEAD</w:t>
            </w:r>
          </w:p>
        </w:tc>
        <w:tc>
          <w:tcPr>
            <w:tcW w:type="dxa" w:w="6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Residual add with dual scales; three-scale detect head and raw export layout.</w:t>
            </w:r>
          </w:p>
        </w:tc>
      </w:tr>
      <w:tr>
        <w:trPr>
          <w:tblHeader w:val="false"/>
        </w:trPr>
        <w:tc>
          <w:tcPr>
            <w:tcW w:type="dxa" w:w="2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TC-DMA / TC-ARB / TC-BSC / TC-FIFO</w:t>
            </w:r>
          </w:p>
        </w:tc>
        <w:tc>
          <w:tcPr>
            <w:tcW w:type="dxa" w:w="6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Boundary guard, arbitration and starvation, bank ownership, packing.</w:t>
            </w:r>
          </w:p>
        </w:tc>
      </w:tr>
      <w:tr>
        <w:trPr>
          <w:tblHeader w:val="false"/>
        </w:trPr>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TC-IRQ / TC-PERF</w:t>
            </w:r>
          </w:p>
        </w:tc>
        <w:tc>
          <w:tcPr>
            <w:tcW w:type="dxa" w:w="6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Interrupt generation and clearing; counter correctness.</w:t>
            </w:r>
          </w:p>
        </w:tc>
      </w:tr>
      <w:tr>
        <w:trPr>
          <w:tblHeader w:val="false"/>
        </w:trPr>
        <w:tc>
          <w:tcPr>
            <w:tcW w:type="dxa" w:w="2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TC-NET / TC-MAP</w:t>
            </w:r>
          </w:p>
        </w:tc>
        <w:tc>
          <w:tcPr>
            <w:tcW w:type="dxa" w:w="6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Backbone, neck and head per-layer match; full forward pass; mAP.</w:t>
            </w:r>
          </w:p>
        </w:tc>
      </w:tr>
      <w:tr>
        <w:trPr>
          <w:tblHeader w:val="false"/>
        </w:trPr>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TC-SYN / TC-AREA / TC-PWR / TC-UTIL</w:t>
            </w:r>
          </w:p>
        </w:tc>
        <w:tc>
          <w:tcPr>
            <w:tcW w:type="dxa" w:w="6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Lint, synthesis, equivalence, timing, area, power, utilization.</w:t>
            </w:r>
          </w:p>
        </w:tc>
      </w:tr>
    </w:tbl>
    <w:p>
      <w:r>
        <w:br w:type="page"/>
      </w:r>
    </w:p>
    <w:p>
      <w:pPr>
        <w:pStyle w:val="Heading1"/>
        <w:spacing w:after="140" w:before="300"/>
      </w:pPr>
      <w:r>
        <w:rPr>
          <w:rFonts w:ascii="Calibri" w:cs="Calibri" w:eastAsia="Calibri" w:hAnsi="Calibri"/>
          <w:b/>
          <w:bCs/>
          <w:color w:val="1F3864"/>
          <w:sz w:val="30"/>
          <w:szCs w:val="30"/>
        </w:rPr>
        <w:t xml:space="preserve">Chapter 18 — Reset, Error Handling, and Recovery</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1800"/>
        <w:gridCol w:w="3800"/>
        <w:gridCol w:w="3760"/>
      </w:tblGrid>
      <w:tr>
        <w:trPr>
          <w:tblHeader/>
        </w:trPr>
        <w:tc>
          <w:tcPr>
            <w:tcW w:type="dxa" w:w="18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Condition</w:t>
            </w:r>
          </w:p>
        </w:tc>
        <w:tc>
          <w:tcPr>
            <w:tcW w:type="dxa" w:w="38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Required hardware behaviour</w:t>
            </w:r>
          </w:p>
        </w:tc>
        <w:tc>
          <w:tcPr>
            <w:tcW w:type="dxa" w:w="37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Host recovery</w:t>
            </w:r>
          </w:p>
        </w:tc>
      </w:tr>
      <w:tr>
        <w:trPr>
          <w:tblHeader w:val="false"/>
        </w:trPr>
        <w:tc>
          <w:tcPr>
            <w:tcW w:type="dxa" w:w="18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Hard reset</w:t>
            </w:r>
          </w:p>
        </w:tc>
        <w:tc>
          <w:tcPr>
            <w:tcW w:type="dxa" w:w="38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Clear FSMs, invalidate banks, clear counters.</w:t>
            </w:r>
          </w:p>
        </w:tc>
        <w:tc>
          <w:tcPr>
            <w:tcW w:type="dxa" w:w="3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Reload descriptors and tensors.</w:t>
            </w:r>
          </w:p>
        </w:tc>
      </w:tr>
      <w:tr>
        <w:trPr>
          <w:tblHeader w:val="false"/>
        </w:trPr>
        <w:tc>
          <w:tcPr>
            <w:tcW w:type="dxa" w:w="18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Soft reset</w:t>
            </w:r>
          </w:p>
        </w:tc>
        <w:tc>
          <w:tcPr>
            <w:tcW w:type="dxa" w:w="38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Return FSMs to idle without clearing configuration.</w:t>
            </w:r>
          </w:p>
        </w:tc>
        <w:tc>
          <w:tcPr>
            <w:tcW w:type="dxa" w:w="3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Reissue START.</w:t>
            </w:r>
          </w:p>
        </w:tc>
      </w:tr>
      <w:tr>
        <w:trPr>
          <w:tblHeader w:val="false"/>
        </w:trPr>
        <w:tc>
          <w:tcPr>
            <w:tcW w:type="dxa" w:w="18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Unsupported op</w:t>
            </w:r>
          </w:p>
        </w:tc>
        <w:tc>
          <w:tcPr>
            <w:tcW w:type="dxa" w:w="38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Set sticky error; do not start any engine; halt descriptor issue.</w:t>
            </w:r>
          </w:p>
        </w:tc>
        <w:tc>
          <w:tcPr>
            <w:tcW w:type="dxa" w:w="3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Clear the bit, correct the descriptor, reissue.</w:t>
            </w:r>
          </w:p>
        </w:tc>
      </w:tr>
      <w:tr>
        <w:trPr>
          <w:tblHeader w:val="false"/>
        </w:trPr>
        <w:tc>
          <w:tcPr>
            <w:tcW w:type="dxa" w:w="18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Shape error</w:t>
            </w:r>
          </w:p>
        </w:tc>
        <w:tc>
          <w:tcPr>
            <w:tcW w:type="dxa" w:w="38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Set sticky error before any DMA is issued.</w:t>
            </w:r>
          </w:p>
        </w:tc>
        <w:tc>
          <w:tcPr>
            <w:tcW w:type="dxa" w:w="3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Clear, correct dimensions, reissue.</w:t>
            </w:r>
          </w:p>
        </w:tc>
      </w:tr>
      <w:tr>
        <w:trPr>
          <w:tblHeader w:val="false"/>
        </w:trPr>
        <w:tc>
          <w:tcPr>
            <w:tcW w:type="dxa" w:w="18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4 KB boundary violation</w:t>
            </w:r>
          </w:p>
        </w:tc>
        <w:tc>
          <w:tcPr>
            <w:tcW w:type="dxa" w:w="38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Complete locally with error; issue no AXI transaction.</w:t>
            </w:r>
          </w:p>
        </w:tc>
        <w:tc>
          <w:tcPr>
            <w:tcW w:type="dxa" w:w="3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Clear, re-tile the request, reissue.</w:t>
            </w:r>
          </w:p>
        </w:tc>
      </w:tr>
      <w:tr>
        <w:trPr>
          <w:tblHeader w:val="false"/>
        </w:trPr>
        <w:tc>
          <w:tcPr>
            <w:tcW w:type="dxa" w:w="18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Bank collision</w:t>
            </w:r>
          </w:p>
        </w:tc>
        <w:tc>
          <w:tcPr>
            <w:tcW w:type="dxa" w:w="38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Raise bsc_error and lock out rather than corrupting ownership.</w:t>
            </w:r>
          </w:p>
        </w:tc>
        <w:tc>
          <w:tcPr>
            <w:tcW w:type="dxa" w:w="3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Soft reset and reload.</w:t>
            </w:r>
          </w:p>
        </w:tc>
      </w:tr>
      <w:tr>
        <w:trPr>
          <w:tblHeader w:val="false"/>
        </w:trPr>
        <w:tc>
          <w:tcPr>
            <w:tcW w:type="dxa" w:w="18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Scheduler dependency deadlock</w:t>
            </w:r>
          </w:p>
        </w:tc>
        <w:tc>
          <w:tcPr>
            <w:tcW w:type="dxa" w:w="38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Timeout counter raises an error rather than hanging indefinitely.</w:t>
            </w:r>
          </w:p>
        </w:tc>
        <w:tc>
          <w:tcPr>
            <w:tcW w:type="dxa" w:w="3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Soft reset; inspect the Tensor Table state.</w:t>
            </w:r>
          </w:p>
        </w:tc>
      </w:tr>
    </w:tbl>
    <w:p>
      <w:pPr>
        <w:pStyle w:val="Heading1"/>
        <w:spacing w:after="140" w:before="300"/>
      </w:pPr>
      <w:r>
        <w:rPr>
          <w:rFonts w:ascii="Calibri" w:cs="Calibri" w:eastAsia="Calibri" w:hAnsi="Calibri"/>
          <w:b/>
          <w:bCs/>
          <w:color w:val="1F3864"/>
          <w:sz w:val="30"/>
          <w:szCs w:val="30"/>
        </w:rPr>
        <w:t xml:space="preserve">Chapter 19 — Implementation Constraints and Design Rules</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Do not implement K_TILE_FIRST or K_TILE_LAST as static descriptor bits; they are dynamic pipeline metadata.</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Do not describe the array as output-stationary. It is weight-stationary with external accumulation.</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Do not allow 4 KB-crossing DMA requests to issue AXI transactions.</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Do not claim full YOLOv8n hardware execution while decode and NMS remain host software.</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Do not claim a measured clock frequency, frame rate, FPGA result or synthesis outcome without tool evidence.</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Do not index the SiLU LUT with anything wider than INT8; see Chapter 12.</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Do not modify config_pkg unilaterally. Package changes are joint and land via pull request only.</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Every primary-target block must carry a final status: implemented and verified, implemented but partial, architecture-only, or removed.</w:t>
      </w:r>
    </w:p>
    <w:p>
      <w:r>
        <w:br w:type="page"/>
      </w:r>
    </w:p>
    <w:p>
      <w:pPr>
        <w:pStyle w:val="Heading1"/>
        <w:spacing w:after="140" w:before="300"/>
      </w:pPr>
      <w:r>
        <w:rPr>
          <w:rFonts w:ascii="Calibri" w:cs="Calibri" w:eastAsia="Calibri" w:hAnsi="Calibri"/>
          <w:b/>
          <w:bCs/>
          <w:color w:val="1F3864"/>
          <w:sz w:val="30"/>
          <w:szCs w:val="30"/>
        </w:rPr>
        <w:t xml:space="preserve">Chapter 20 — Final Claim Boundary</w:t>
      </w:r>
    </w:p>
    <w:tbl>
      <w:tblPr>
        <w:tblW w:type="dxa" w:w="9360"/>
        <w:tblBorders>
          <w:top w:val="single" w:color="538135" w:sz="6"/>
          <w:left w:val="single" w:color="538135" w:sz="6"/>
          <w:bottom w:val="single" w:color="538135" w:sz="6"/>
          <w:right w:val="single" w:color="538135" w:sz="6"/>
          <w:insideH w:val="none"/>
          <w:insideV w:val="none"/>
        </w:tblBorders>
      </w:tblPr>
      <w:tblGrid>
        <w:gridCol w:w="9360"/>
      </w:tblGrid>
      <w:tr>
        <w:tc>
          <w:tcPr>
            <w:tcW w:type="dxa" w:w="9360"/>
            <w:shd w:fill="E2EFDA" w:color="auto" w:val="clear"/>
            <w:tcMar>
              <w:top w:type="dxa" w:w="110"/>
              <w:left w:type="dxa" w:w="150"/>
              <w:bottom w:type="dxa" w:w="110"/>
              <w:right w:type="dxa" w:w="150"/>
            </w:tcMar>
          </w:tcPr>
          <w:p>
            <w:pPr>
              <w:spacing w:after="70"/>
            </w:pPr>
            <w:r>
              <w:rPr>
                <w:rFonts w:ascii="Calibri" w:cs="Calibri" w:eastAsia="Calibri" w:hAnsi="Calibri"/>
                <w:b/>
                <w:bCs/>
                <w:i w:val="false"/>
                <w:iCs w:val="false"/>
                <w:color w:val="000000"/>
                <w:sz w:val="19"/>
                <w:szCs w:val="19"/>
              </w:rPr>
              <w:t xml:space="preserve">Recommended title</w:t>
            </w:r>
          </w:p>
          <w:p>
            <w:pPr>
              <w:spacing w:after="40" w:before="40"/>
            </w:pPr>
            <w:r>
              <w:rPr>
                <w:rFonts w:ascii="Calibri" w:cs="Calibri" w:eastAsia="Calibri" w:hAnsi="Calibri"/>
                <w:b w:val="false"/>
                <w:bCs w:val="false"/>
                <w:i w:val="false"/>
                <w:iCs w:val="false"/>
                <w:color w:val="000000"/>
                <w:sz w:val="18"/>
                <w:szCs w:val="18"/>
              </w:rPr>
              <w:t xml:space="preserve">Design, Verification and Characterisation of a Host-Assisted INT8 Edge Inference Accelerator for YOLOv8n Compute-Layer Execution</w:t>
            </w:r>
          </w:p>
        </w:tc>
      </w:tr>
    </w:tbl>
    <w:tbl>
      <w:tblPr>
        <w:tblW w:type="dxa" w:w="9360"/>
        <w:tblBorders>
          <w:top w:val="single" w:color="538135" w:sz="6"/>
          <w:left w:val="single" w:color="538135" w:sz="6"/>
          <w:bottom w:val="single" w:color="538135" w:sz="6"/>
          <w:right w:val="single" w:color="538135" w:sz="6"/>
          <w:insideH w:val="none"/>
          <w:insideV w:val="none"/>
        </w:tblBorders>
      </w:tblPr>
      <w:tblGrid>
        <w:gridCol w:w="9360"/>
      </w:tblGrid>
      <w:tr>
        <w:tc>
          <w:tcPr>
            <w:tcW w:type="dxa" w:w="9360"/>
            <w:shd w:fill="E2EFDA" w:color="auto" w:val="clear"/>
            <w:tcMar>
              <w:top w:type="dxa" w:w="110"/>
              <w:left w:type="dxa" w:w="150"/>
              <w:bottom w:type="dxa" w:w="110"/>
              <w:right w:type="dxa" w:w="150"/>
            </w:tcMar>
          </w:tcPr>
          <w:p>
            <w:pPr>
              <w:spacing w:after="70"/>
            </w:pPr>
            <w:r>
              <w:rPr>
                <w:rFonts w:ascii="Calibri" w:cs="Calibri" w:eastAsia="Calibri" w:hAnsi="Calibri"/>
                <w:b/>
                <w:bCs/>
                <w:i w:val="false"/>
                <w:iCs w:val="false"/>
                <w:color w:val="000000"/>
                <w:sz w:val="19"/>
                <w:szCs w:val="19"/>
              </w:rPr>
              <w:t xml:space="preserve">Safe final claim</w:t>
            </w:r>
          </w:p>
          <w:p>
            <w:pPr>
              <w:spacing w:after="40" w:before="40"/>
            </w:pPr>
            <w:r>
              <w:rPr>
                <w:rFonts w:ascii="Calibri" w:cs="Calibri" w:eastAsia="Calibri" w:hAnsi="Calibri"/>
                <w:b w:val="false"/>
                <w:bCs w:val="false"/>
                <w:i w:val="false"/>
                <w:iCs w:val="false"/>
                <w:color w:val="000000"/>
                <w:sz w:val="18"/>
                <w:szCs w:val="18"/>
              </w:rPr>
              <w:t xml:space="preserve">The architecture defines a host-assisted INT8 accelerator that executes the convolution, GEMM, pooling, activation and tensor-restructuring primitives of YOLOv8n on a 64-PE weight-stationary systolic datapath, with correctness established by bit-exact agreement against an independent Python golden reference model and end-to-end accuracy established by mAP measurement against an FP32 reference. The design is characterised for gate count, critical path, area, power and per-layer array utilization, and the utilization analysis is used to derive the array width and memory capacity required for real-time operation.</w:t>
            </w:r>
          </w:p>
        </w:tc>
      </w:tr>
    </w:tbl>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3600"/>
        <w:gridCol w:w="5760"/>
      </w:tblGrid>
      <w:tr>
        <w:trPr>
          <w:tblHeader/>
        </w:trPr>
        <w:tc>
          <w:tcPr>
            <w:tcW w:type="dxa" w:w="36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No-go claim</w:t>
            </w:r>
          </w:p>
        </w:tc>
        <w:tc>
          <w:tcPr>
            <w:tcW w:type="dxa" w:w="57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Reason</w:t>
            </w:r>
          </w:p>
        </w:tc>
      </w:tr>
      <w:tr>
        <w:trPr>
          <w:tblHeader w:val="false"/>
        </w:trPr>
        <w:tc>
          <w:tcPr>
            <w:tcW w:type="dxa" w:w="3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Full standalone YOLOv8n hardware accelerator</w:t>
            </w:r>
          </w:p>
        </w:tc>
        <w:tc>
          <w:tcPr>
            <w:tcW w:type="dxa" w:w="5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Decode and NMS remain host software by design.</w:t>
            </w:r>
          </w:p>
        </w:tc>
      </w:tr>
      <w:tr>
        <w:trPr>
          <w:tblHeader w:val="false"/>
        </w:trPr>
        <w:tc>
          <w:tcPr>
            <w:tcW w:type="dxa" w:w="3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Real-time detection</w:t>
            </w:r>
          </w:p>
        </w:tc>
        <w:tc>
          <w:tcPr>
            <w:tcW w:type="dxa" w:w="5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The analytical bound is approximately 1–2 s per frame at 640×640. See Chapter 16.</w:t>
            </w:r>
          </w:p>
        </w:tc>
      </w:tr>
      <w:tr>
        <w:trPr>
          <w:tblHeader w:val="false"/>
        </w:trPr>
        <w:tc>
          <w:tcPr>
            <w:tcW w:type="dxa" w:w="3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Measured FPS without measurement</w:t>
            </w:r>
          </w:p>
        </w:tc>
        <w:tc>
          <w:tcPr>
            <w:tcW w:type="dxa" w:w="5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No claim without instrumented evidence.</w:t>
            </w:r>
          </w:p>
        </w:tc>
      </w:tr>
      <w:tr>
        <w:trPr>
          <w:tblHeader w:val="false"/>
        </w:trPr>
        <w:tc>
          <w:tcPr>
            <w:tcW w:type="dxa" w:w="3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Timing closure without tool evidence</w:t>
            </w:r>
          </w:p>
        </w:tc>
        <w:tc>
          <w:tcPr>
            <w:tcW w:type="dxa" w:w="5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No claim without a synthesis and STA report.</w:t>
            </w:r>
          </w:p>
        </w:tc>
      </w:tr>
      <w:tr>
        <w:trPr>
          <w:tblHeader w:val="false"/>
        </w:trPr>
        <w:tc>
          <w:tcPr>
            <w:tcW w:type="dxa" w:w="3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Silicon or tape-out</w:t>
            </w:r>
          </w:p>
        </w:tc>
        <w:tc>
          <w:tcPr>
            <w:tcW w:type="dxa" w:w="5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Not attempted in this project.</w:t>
            </w:r>
          </w:p>
        </w:tc>
      </w:tr>
      <w:tr>
        <w:trPr>
          <w:tblHeader w:val="false"/>
        </w:trPr>
        <w:tc>
          <w:tcPr>
            <w:tcW w:type="dxa" w:w="3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Hardware decode or hardware NMS</w:t>
            </w:r>
          </w:p>
        </w:tc>
        <w:tc>
          <w:tcPr>
            <w:tcW w:type="dxa" w:w="5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Explicitly host software in this revision.</w:t>
            </w:r>
          </w:p>
        </w:tc>
      </w:tr>
    </w:tbl>
    <w:p>
      <w:r>
        <w:br w:type="page"/>
      </w:r>
    </w:p>
    <w:p>
      <w:pPr>
        <w:pStyle w:val="Heading1"/>
        <w:spacing w:after="140" w:before="300"/>
      </w:pPr>
      <w:r>
        <w:rPr>
          <w:rFonts w:ascii="Calibri" w:cs="Calibri" w:eastAsia="Calibri" w:hAnsi="Calibri"/>
          <w:b/>
          <w:bCs/>
          <w:color w:val="1F3864"/>
          <w:sz w:val="30"/>
          <w:szCs w:val="30"/>
        </w:rPr>
        <w:t xml:space="preserve">Appendix A — Interface Checklist</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600"/>
        <w:gridCol w:w="6760"/>
      </w:tblGrid>
      <w:tr>
        <w:trPr>
          <w:tblHeader/>
        </w:trPr>
        <w:tc>
          <w:tcPr>
            <w:tcW w:type="dxa" w:w="26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Interface</w:t>
            </w:r>
          </w:p>
        </w:tc>
        <w:tc>
          <w:tcPr>
            <w:tcW w:type="dxa" w:w="67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Must be defined before RTL integration</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Host CSR bus</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Address width, data width, reset values, W1C bits, START pulse behaviour.</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Descriptor commit</w:t>
            </w:r>
          </w:p>
        </w:tc>
        <w:tc>
          <w:tcPr>
            <w:tcW w:type="dxa" w:w="6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Atomicity, safe-to-commit condition, shadow-to-active transfer.</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Tensor layout</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NHWC ordering, row padding, byte lane mapping.</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Window generator to array</w:t>
            </w:r>
          </w:p>
        </w:tc>
        <w:tc>
          <w:tcPr>
            <w:tcW w:type="dxa" w:w="6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Beat format, valid/ready, padding representation.</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Array to SDDU</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Lane ordering, skew definition, enable semantics.</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SDDU to accumulator</w:t>
            </w:r>
          </w:p>
        </w:tc>
        <w:tc>
          <w:tcPr>
            <w:tcW w:type="dxa" w:w="6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Metadata alignment guarantee, valid window length.</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Accumulator to requantisation</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INT33 width, drain condition, per-channel parameter indexing.</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Requantisation to activation</w:t>
            </w:r>
          </w:p>
        </w:tc>
        <w:tc>
          <w:tcPr>
            <w:tcW w:type="dxa" w:w="6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INT8 code, activation mode, LUT index mapping.</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LUT load path</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Table base, load timing relative to layer start, reload without stall.</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Elementwise second operand</w:t>
            </w:r>
          </w:p>
        </w:tc>
        <w:tc>
          <w:tcPr>
            <w:tcW w:type="dxa" w:w="6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Residual base, scale pair, saturation behaviour.</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Pooling engine</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Window size, stride, edge handling, source and destination tensors.</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DMA to SRAM</w:t>
            </w:r>
          </w:p>
        </w:tc>
        <w:tc>
          <w:tcPr>
            <w:tcW w:type="dxa" w:w="6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Beat width, byte ordering, bank selection, write enable timing.</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Bank state controller</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Ownership transitions, collision definition, error semantics.</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Tensor Table</w:t>
            </w:r>
          </w:p>
        </w:tc>
        <w:tc>
          <w:tcPr>
            <w:tcW w:type="dxa" w:w="6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Entry format, lifetime decrement, validity semantics.</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Scheduler to dispatcher</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Issue condition, stall condition, error propagation.</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Output to host</w:t>
            </w:r>
          </w:p>
        </w:tc>
        <w:tc>
          <w:tcPr>
            <w:tcW w:type="dxa" w:w="6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Raw tensor layout, scale ordering, byte format.</w:t>
            </w:r>
          </w:p>
        </w:tc>
      </w:tr>
    </w:tbl>
    <w:p>
      <w:pPr>
        <w:pStyle w:val="Heading1"/>
        <w:spacing w:after="140" w:before="300"/>
      </w:pPr>
      <w:r>
        <w:rPr>
          <w:rFonts w:ascii="Calibri" w:cs="Calibri" w:eastAsia="Calibri" w:hAnsi="Calibri"/>
          <w:b/>
          <w:bCs/>
          <w:color w:val="1F3864"/>
          <w:sz w:val="30"/>
          <w:szCs w:val="30"/>
        </w:rPr>
        <w:t xml:space="preserve">Appendix B — Mermaid Source Files</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3400"/>
        <w:gridCol w:w="3000"/>
        <w:gridCol w:w="2960"/>
      </w:tblGrid>
      <w:tr>
        <w:trPr>
          <w:tblHeader/>
        </w:trPr>
        <w:tc>
          <w:tcPr>
            <w:tcW w:type="dxa" w:w="34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Mermaid file</w:t>
            </w:r>
          </w:p>
        </w:tc>
        <w:tc>
          <w:tcPr>
            <w:tcW w:type="dxa" w:w="30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Purpose</w:t>
            </w:r>
          </w:p>
        </w:tc>
        <w:tc>
          <w:tcPr>
            <w:tcW w:type="dxa" w:w="29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Notes</w:t>
            </w:r>
          </w:p>
        </w:tc>
      </w:tr>
      <w:tr>
        <w:trPr>
          <w:tblHeader w:val="false"/>
        </w:trPr>
        <w:tc>
          <w:tcPr>
            <w:tcW w:type="dxa" w:w="3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EdgeASIC_v5_0_Master_Architecture.mmd</w:t>
            </w:r>
          </w:p>
        </w:tc>
        <w:tc>
          <w:tcPr>
            <w:tcW w:type="dxa" w:w="3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Editable source for Figure 1.</w:t>
            </w:r>
          </w:p>
        </w:tc>
        <w:tc>
          <w:tcPr>
            <w:tcW w:type="dxa" w:w="2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Conservative syntax; class definitions carry the status colour coding.</w:t>
            </w:r>
          </w:p>
        </w:tc>
      </w:tr>
      <w:tr>
        <w:trPr>
          <w:tblHeader w:val="false"/>
        </w:trPr>
        <w:tc>
          <w:tcPr>
            <w:tcW w:type="dxa" w:w="3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02_host_flow.mmd</w:t>
            </w:r>
          </w:p>
        </w:tc>
        <w:tc>
          <w:tcPr>
            <w:tcW w:type="dxa" w:w="3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Figure 2 — host execution flow.</w:t>
            </w:r>
          </w:p>
        </w:tc>
        <w:tc>
          <w:tcPr>
            <w:tcW w:type="dxa" w:w="2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Suitable for slides.</w:t>
            </w:r>
          </w:p>
        </w:tc>
      </w:tr>
      <w:tr>
        <w:trPr>
          <w:tblHeader w:val="false"/>
        </w:trPr>
        <w:tc>
          <w:tcPr>
            <w:tcW w:type="dxa" w:w="3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03_core_datapath.mmd</w:t>
            </w:r>
          </w:p>
        </w:tc>
        <w:tc>
          <w:tcPr>
            <w:tcW w:type="dxa" w:w="3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Figure 3 — core datapath and attach points.</w:t>
            </w:r>
          </w:p>
        </w:tc>
        <w:tc>
          <w:tcPr>
            <w:tcW w:type="dxa" w:w="2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Suitable for implementation reviews.</w:t>
            </w:r>
          </w:p>
        </w:tc>
      </w:tr>
      <w:tr>
        <w:trPr>
          <w:tblHeader w:val="false"/>
        </w:trPr>
        <w:tc>
          <w:tcPr>
            <w:tcW w:type="dxa" w:w="3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04_control_memory.mmd</w:t>
            </w:r>
          </w:p>
        </w:tc>
        <w:tc>
          <w:tcPr>
            <w:tcW w:type="dxa" w:w="3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Figure 4 — control plane and memory system.</w:t>
            </w:r>
          </w:p>
        </w:tc>
        <w:tc>
          <w:tcPr>
            <w:tcW w:type="dxa" w:w="2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Suitable for implementation reviews.</w:t>
            </w:r>
          </w:p>
        </w:tc>
      </w:tr>
      <w:tr>
        <w:trPr>
          <w:tblHeader w:val="false"/>
        </w:trPr>
        <w:tc>
          <w:tcPr>
            <w:tcW w:type="dxa" w:w="3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05_arch_delta.mmd</w:t>
            </w:r>
          </w:p>
        </w:tc>
        <w:tc>
          <w:tcPr>
            <w:tcW w:type="dxa" w:w="3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Figure 5 — v4.8 to v5.0 delta.</w:t>
            </w:r>
          </w:p>
        </w:tc>
        <w:tc>
          <w:tcPr>
            <w:tcW w:type="dxa" w:w="2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Companion to the Architecture Change Register.</w:t>
            </w:r>
          </w:p>
        </w:tc>
      </w:tr>
    </w:tbl>
    <w:p>
      <w:pPr>
        <w:spacing w:after="80" w:before="80"/>
        <w:jc w:val="left"/>
      </w:pPr>
      <w:r>
        <w:rPr>
          <w:rFonts w:ascii="Calibri" w:cs="Calibri" w:eastAsia="Calibri" w:hAnsi="Calibri"/>
          <w:b w:val="false"/>
          <w:bCs w:val="false"/>
          <w:i w:val="false"/>
          <w:iCs w:val="false"/>
          <w:color w:val="000000"/>
          <w:sz w:val="19"/>
          <w:szCs w:val="19"/>
        </w:rPr>
        <w:t xml:space="preserve">Colour coding is consistent across every figure: green indicates implemented and verified, yellow indicates a scheduled primary target, blue indicates addressing-only operators, purple indicates the control plane, grey indicates host software, and orange indicates the error and status path.</w:t>
      </w:r>
    </w:p>
    <w:p>
      <w:pPr>
        <w:spacing w:after="80" w:before="400"/>
        <w:jc w:val="center"/>
      </w:pPr>
      <w:r>
        <w:rPr>
          <w:rFonts w:ascii="Calibri" w:cs="Calibri" w:eastAsia="Calibri" w:hAnsi="Calibri"/>
          <w:b w:val="false"/>
          <w:bCs w:val="false"/>
          <w:i/>
          <w:iCs/>
          <w:color w:val="000000"/>
          <w:sz w:val="17"/>
          <w:szCs w:val="17"/>
        </w:rPr>
        <w:t xml:space="preserve">End of document — EdgeASIC v5.0 Architecture Specification, 17 August 2026</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e023d183dfa1dbefe9a0cf6466ca5a905223399.png"/><Relationship Id="rId8" Type="http://schemas.openxmlformats.org/officeDocument/2006/relationships/image" Target="media/1cac0da99056af0667e313abf49c46514d225dae.png"/><Relationship Id="rId9" Type="http://schemas.openxmlformats.org/officeDocument/2006/relationships/image" Target="media/280c7ed0c4b4638e3b32eaf141f9b4bc53b867ba.png"/><Relationship Id="rId10" Type="http://schemas.openxmlformats.org/officeDocument/2006/relationships/image" Target="media/0ab69ec1cbfdf65755dcb6abd666aed7e9ad93df.png"/><Relationship Id="rId11" Type="http://schemas.openxmlformats.org/officeDocument/2006/relationships/image" Target="media/6a3eb16682656f23633ef759c93780d68b6600d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EdgeASIC v5.0 Detailed Full-Scope Architecture Specification</dc:title>
  <dc:creator>EdgeASIC FYP Team</dc:creator>
  <cp:lastModifiedBy>Un-named</cp:lastModifiedBy>
  <cp:revision>1</cp:revision>
  <dcterms:created xsi:type="dcterms:W3CDTF">2026-08-16T20:34:51.863Z</dcterms:created>
  <dcterms:modified xsi:type="dcterms:W3CDTF">2026-08-16T20:34:51.878Z</dcterms:modified>
</cp:coreProperties>
</file>

<file path=docProps/custom.xml><?xml version="1.0" encoding="utf-8"?>
<Properties xmlns="http://schemas.openxmlformats.org/officeDocument/2006/custom-properties" xmlns:vt="http://schemas.openxmlformats.org/officeDocument/2006/docPropsVTypes"/>
</file>