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eastAsia="Calibri"/>
          <w:b/>
          <w:color w:val="2E74B5"/>
          <w:sz w:val="20"/>
        </w:rPr>
        <w:t>ECBS5241 · FALL 2026–2027</w:t>
      </w:r>
    </w:p>
    <w:p>
      <w:pPr>
        <w:spacing w:before="0" w:after="80"/>
      </w:pPr>
      <w:r>
        <w:rPr>
          <w:rFonts w:ascii="Calibri" w:hAnsi="Calibri" w:eastAsia="Calibri"/>
          <w:b/>
          <w:color w:val="0B2545"/>
          <w:sz w:val="58"/>
        </w:rPr>
        <w:t>Introduction to Stata</w:t>
      </w:r>
    </w:p>
    <w:p>
      <w:pPr>
        <w:spacing w:before="0" w:after="240"/>
        <w:pBdr>
          <w:bottom w:val="single" w:sz="10" w:space="7" w:color="2E74B5"/>
        </w:pBdr>
      </w:pPr>
      <w:r>
        <w:rPr>
          <w:rFonts w:ascii="Calibri" w:hAnsi="Calibri" w:eastAsia="Calibri"/>
          <w:color w:val="666666"/>
          <w:sz w:val="28"/>
        </w:rPr>
        <w:t>Reproducible data work for economics and public policy</w:t>
      </w:r>
    </w:p>
    <w:tbl>
      <w:tblPr>
        <w:tblStyle w:val="TableGrid"/>
        <w:tblW w:type="dxa" w:w="9360"/>
        <w:tblLayout w:type="fixed"/>
        <w:tblLook w:firstColumn="1" w:firstRow="1" w:lastColumn="0" w:lastRow="0" w:noHBand="0" w:noVBand="1" w:val="04A0"/>
        <w:tblInd w:w="120" w:type="dxa"/>
      </w:tblPr>
      <w:tblGrid>
        <w:gridCol w:w="2880"/>
        <w:gridCol w:w="6480"/>
      </w:tblGrid>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Academic year</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2026–2027</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Term</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Fall</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Host unit</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Department of Economics</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Course level</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7</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US / ECTS credits</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1 / 2</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Instructor</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 xml:space="preserve">Ulrich Wohak, PhD · </w:t>
            </w:r>
            <w:hyperlink r:id="rId11">
              <w:r>
                <w:rPr>
                  <w:rFonts w:ascii="Calibri" w:hAnsi="Calibri"/>
                  <w:color w:val="0563C1"/>
                  <w:u w:val="single"/>
                  <w:sz w:val="22"/>
                </w:rPr>
                <w:t>wohaku@ceu.edu</w:t>
              </w:r>
            </w:hyperlink>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Meetings</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Mondays, 08:50–10:30 · 14 September–19 October 2026</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Format</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t>Five teaching sessions and a final in-class exam · Room TBC</w:t>
            </w:r>
          </w:p>
        </w:tc>
      </w:tr>
      <w:tr>
        <w:tc>
          <w:tcPr>
            <w:tcW w:type="dxa" w:w="2880"/>
            <w:tcMar>
              <w:top w:w="80" w:type="dxa"/>
              <w:bottom w:w="80" w:type="dxa"/>
              <w:start w:w="120" w:type="dxa"/>
              <w:end w:w="120" w:type="dxa"/>
            </w:tcMar>
            <w:vAlign w:val="center"/>
            <w:shd w:fill="E8EEF5"/>
          </w:tcPr>
          <w:p>
            <w:pPr>
              <w:spacing w:before="0" w:after="40" w:line="240" w:lineRule="auto"/>
            </w:pPr>
            <w:r>
              <w:rPr>
                <w:rFonts w:ascii="Calibri" w:hAnsi="Calibri" w:eastAsia="Calibri"/>
                <w:b/>
                <w:color w:val="0B2545"/>
                <w:sz w:val="20"/>
              </w:rPr>
              <w:t>Course repository</w:t>
            </w:r>
          </w:p>
        </w:tc>
        <w:tc>
          <w:tcPr>
            <w:tcW w:type="dxa" w:w="64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hyperlink r:id="rId12">
              <w:r>
                <w:rPr>
                  <w:rFonts w:ascii="Calibri" w:hAnsi="Calibri"/>
                  <w:color w:val="0563C1"/>
                  <w:u w:val="single"/>
                  <w:sz w:val="22"/>
                </w:rPr>
                <w:t>github.com/ulrichwohak/Introduction-to-Stata</w:t>
              </w:r>
            </w:hyperlink>
          </w:p>
        </w:tc>
      </w:tr>
    </w:tbl>
    <w:p>
      <w:pPr>
        <w:spacing w:after="0"/>
      </w:pPr>
    </w:p>
    <w:p>
      <w:pPr>
        <w:pStyle w:val="Heading1"/>
      </w:pPr>
      <w:r>
        <w:rPr>
          <w:rFonts w:ascii="Calibri" w:hAnsi="Calibri" w:eastAsia="Calibri"/>
          <w:color w:val="0B2545"/>
          <w:sz w:val="22"/>
        </w:rPr>
        <w:t>Background and overall aim</w:t>
      </w:r>
    </w:p>
    <w:p>
      <w:pPr>
        <w:widowControl/>
      </w:pPr>
      <w:r>
        <w:rPr>
          <w:rFonts w:ascii="Calibri" w:hAnsi="Calibri" w:eastAsia="Calibri"/>
          <w:b/>
          <w:color w:val="0B2545"/>
          <w:sz w:val="22"/>
        </w:rPr>
        <w:t>Content.</w:t>
      </w:r>
      <w:r>
        <w:rPr>
          <w:rFonts w:ascii="Calibri" w:hAnsi="Calibri" w:eastAsia="Calibri"/>
          <w:color w:val="0B2545"/>
          <w:sz w:val="22"/>
        </w:rPr>
        <w:t xml:space="preserve"> This course introduces Stata as a reproducible research environment. Students learn to organize a project, write and run do-files, import and validate data, clean and transform variables, combine and reshape datasets, automate repeated tasks, produce descriptive output and graphics, and carry out a descriptive analysis. The five teaching sessions contribute to one complete workflow that can be rerun from raw data. The sixth meeting is the final in-class exam.</w:t>
      </w:r>
    </w:p>
    <w:p>
      <w:pPr>
        <w:widowControl/>
      </w:pPr>
      <w:r>
        <w:rPr>
          <w:rFonts w:ascii="Calibri" w:hAnsi="Calibri" w:eastAsia="Calibri"/>
          <w:b/>
          <w:color w:val="0B2545"/>
          <w:sz w:val="22"/>
        </w:rPr>
        <w:t>Relevance.</w:t>
      </w:r>
      <w:r>
        <w:rPr>
          <w:rFonts w:ascii="Calibri" w:hAnsi="Calibri" w:eastAsia="Calibri"/>
          <w:color w:val="0B2545"/>
          <w:sz w:val="22"/>
        </w:rPr>
        <w:t xml:space="preserve"> Stata is widely used in economics, public policy, and other quantitative social sciences. Reliable research requires more than knowing individual commands: analysts must understand the unit of observation, test keys, record cleaning decisions, separate raw inputs from generated outputs, and produce results that another person can reproduce. The course emphasizes these habits from the first do-file.</w:t>
      </w:r>
    </w:p>
    <w:p>
      <w:pPr>
        <w:widowControl/>
      </w:pPr>
      <w:r>
        <w:rPr>
          <w:rFonts w:ascii="Calibri" w:hAnsi="Calibri" w:eastAsia="Calibri"/>
          <w:b/>
          <w:color w:val="0B2545"/>
          <w:sz w:val="22"/>
        </w:rPr>
        <w:t>Scope.</w:t>
      </w:r>
      <w:r>
        <w:rPr>
          <w:rFonts w:ascii="Calibri" w:hAnsi="Calibri" w:eastAsia="Calibri"/>
          <w:color w:val="0B2545"/>
          <w:sz w:val="22"/>
        </w:rPr>
        <w:t xml:space="preserve"> The course is entirely in Stata. Git may be used to distribute updates, but the command line, Git, Python, and other programming languages are not course topics.</w:t>
      </w:r>
    </w:p>
    <w:p>
      <w:pPr>
        <w:pStyle w:val="Heading1"/>
      </w:pPr>
      <w:r>
        <w:rPr>
          <w:rFonts w:ascii="Calibri" w:hAnsi="Calibri" w:eastAsia="Calibri"/>
          <w:color w:val="0B2545"/>
          <w:sz w:val="22"/>
        </w:rPr>
        <w:t>Course prerequisites and technical requirements</w:t>
      </w:r>
    </w:p>
    <w:p>
      <w:pPr>
        <w:widowControl/>
      </w:pPr>
      <w:r>
        <w:rPr>
          <w:rFonts w:ascii="Calibri" w:hAnsi="Calibri" w:eastAsia="Calibri"/>
          <w:color w:val="0B2545"/>
          <w:sz w:val="22"/>
        </w:rPr>
        <w:t>There is no formal programming prerequisite. Students should be comfortable with basic quantitative concepts such as variables, observations, means, percentages, and simple linear relationships.</w:t>
      </w:r>
    </w:p>
    <w:p>
      <w:pPr>
        <w:keepNext/>
        <w:widowControl/>
      </w:pPr>
      <w:r>
        <w:rPr>
          <w:rFonts w:ascii="Calibri" w:hAnsi="Calibri" w:eastAsia="Calibri"/>
          <w:color w:val="0B2545"/>
          <w:sz w:val="22"/>
        </w:rPr>
        <w:t>Students must bring a laptop to every session and have:</w:t>
      </w:r>
    </w:p>
    <w:p>
      <w:pPr>
        <w:numPr>
          <w:ilvl w:val="0"/>
          <w:numId w:val="10"/>
        </w:numPr>
        <w:spacing w:before="0" w:after="160" w:line="280" w:lineRule="auto"/>
      </w:pPr>
      <w:r>
        <w:rPr>
          <w:rFonts w:ascii="Calibri" w:hAnsi="Calibri" w:eastAsia="Calibri"/>
          <w:color w:val="0B2545"/>
          <w:sz w:val="22"/>
        </w:rPr>
        <w:t>Stata 18 or newer, with permission to create and modify local files.</w:t>
      </w:r>
    </w:p>
    <w:p>
      <w:pPr>
        <w:numPr>
          <w:ilvl w:val="0"/>
          <w:numId w:val="10"/>
        </w:numPr>
        <w:spacing w:before="0" w:after="160" w:line="280" w:lineRule="auto"/>
      </w:pPr>
      <w:r>
        <w:rPr>
          <w:rFonts w:ascii="Calibri" w:hAnsi="Calibri" w:eastAsia="Calibri"/>
          <w:color w:val="0B2545"/>
          <w:sz w:val="22"/>
        </w:rPr>
        <w:t>A local copy of the course repository.</w:t>
      </w:r>
    </w:p>
    <w:p>
      <w:pPr>
        <w:numPr>
          <w:ilvl w:val="0"/>
          <w:numId w:val="10"/>
        </w:numPr>
        <w:spacing w:before="0" w:after="160" w:line="280" w:lineRule="auto"/>
      </w:pPr>
      <w:r>
        <w:rPr>
          <w:rFonts w:ascii="Calibri" w:hAnsi="Calibri" w:eastAsia="Calibri"/>
          <w:color w:val="0B2545"/>
          <w:sz w:val="22"/>
        </w:rPr>
        <w:t>Internet access for obtaining course updates; the teaching workflow itself works offline.</w:t>
      </w:r>
    </w:p>
    <w:p>
      <w:pPr>
        <w:keepNext/>
        <w:widowControl/>
      </w:pPr>
      <w:r>
        <w:rPr>
          <w:rFonts w:ascii="Calibri" w:hAnsi="Calibri" w:eastAsia="Calibri"/>
          <w:color w:val="0B2545"/>
          <w:sz w:val="22"/>
        </w:rPr>
        <w:t>Before Session 1, students should open Stata, change the working directory to the repository root, and confirm that Stata can run:</w:t>
      </w:r>
    </w:p>
    <w:p>
      <w:pPr>
        <w:pStyle w:val="CodeBlock"/>
        <w:shd w:fill="F4F6F9"/>
      </w:pPr>
      <w:r>
        <w:rPr>
          <w:rFonts w:ascii="Consolas" w:hAnsi="Consolas" w:eastAsia="Consolas"/>
          <w:color w:val="1F4D78"/>
          <w:sz w:val="19"/>
        </w:rPr>
        <w:t>do "scripts/00_master.do"</w:t>
      </w:r>
    </w:p>
    <w:p>
      <w:pPr>
        <w:widowControl/>
      </w:pPr>
      <w:r>
        <w:rPr>
          <w:rFonts w:ascii="Calibri" w:hAnsi="Calibri" w:eastAsia="Calibri"/>
          <w:color w:val="0B2545"/>
          <w:sz w:val="22"/>
        </w:rPr>
        <w:t>Students who cannot access the required Stata version should contact the instructor before the first meeting.</w:t>
      </w:r>
    </w:p>
    <w:p>
      <w:pPr>
        <w:pStyle w:val="Heading1"/>
      </w:pPr>
      <w:r>
        <w:rPr>
          <w:rFonts w:ascii="Calibri" w:hAnsi="Calibri" w:eastAsia="Calibri"/>
          <w:color w:val="0B2545"/>
          <w:sz w:val="22"/>
        </w:rPr>
        <w:t>Waiting list handling</w:t>
      </w:r>
    </w:p>
    <w:p>
      <w:pPr>
        <w:widowControl/>
      </w:pPr>
      <w:r>
        <w:rPr>
          <w:rFonts w:ascii="Calibri" w:hAnsi="Calibri" w:eastAsia="Calibri"/>
          <w:color w:val="0B2545"/>
          <w:sz w:val="22"/>
        </w:rPr>
        <w:t>Priority is given to students from the Department of Economics, with special attention to students in Economics, Data, and Policy programs. Other students are admitted from the waiting list subject to program priorities and available places.</w:t>
      </w:r>
    </w:p>
    <w:p>
      <w:pPr>
        <w:pStyle w:val="Heading1"/>
      </w:pPr>
      <w:r>
        <w:rPr>
          <w:rFonts w:ascii="Calibri" w:hAnsi="Calibri" w:eastAsia="Calibri"/>
          <w:color w:val="0B2545"/>
          <w:sz w:val="22"/>
        </w:rPr>
        <w:t>Learning outcomes</w:t>
      </w:r>
    </w:p>
    <w:p>
      <w:pPr>
        <w:keepNext/>
        <w:widowControl/>
      </w:pPr>
      <w:r>
        <w:rPr>
          <w:rFonts w:ascii="Calibri" w:hAnsi="Calibri" w:eastAsia="Calibri"/>
          <w:color w:val="0B2545"/>
          <w:sz w:val="22"/>
        </w:rPr>
        <w:t>By the end of the course, students will be able to:</w:t>
      </w:r>
    </w:p>
    <w:p>
      <w:pPr>
        <w:numPr>
          <w:ilvl w:val="0"/>
          <w:numId w:val="10"/>
        </w:numPr>
        <w:spacing w:before="0" w:after="160" w:line="280" w:lineRule="auto"/>
      </w:pPr>
      <w:r>
        <w:rPr>
          <w:rFonts w:ascii="Calibri" w:hAnsi="Calibri" w:eastAsia="Calibri"/>
          <w:color w:val="0B2545"/>
          <w:sz w:val="22"/>
        </w:rPr>
        <w:t>Organize a reproducible Stata project using relative paths, do-files, logs, and a master script.</w:t>
      </w:r>
    </w:p>
    <w:p>
      <w:pPr>
        <w:numPr>
          <w:ilvl w:val="0"/>
          <w:numId w:val="10"/>
        </w:numPr>
        <w:spacing w:before="0" w:after="160" w:line="280" w:lineRule="auto"/>
      </w:pPr>
      <w:r>
        <w:rPr>
          <w:rFonts w:ascii="Calibri" w:hAnsi="Calibri" w:eastAsia="Calibri"/>
          <w:color w:val="0B2545"/>
          <w:sz w:val="22"/>
        </w:rPr>
        <w:t>Import CSV and Stata data, inspect storage types and values, identify the unit of observation, and validate candidate keys.</w:t>
      </w:r>
    </w:p>
    <w:p>
      <w:pPr>
        <w:numPr>
          <w:ilvl w:val="0"/>
          <w:numId w:val="10"/>
        </w:numPr>
        <w:spacing w:before="0" w:after="160" w:line="280" w:lineRule="auto"/>
      </w:pPr>
      <w:r>
        <w:rPr>
          <w:rFonts w:ascii="Calibri" w:hAnsi="Calibri" w:eastAsia="Calibri"/>
          <w:color w:val="0B2545"/>
          <w:sz w:val="22"/>
        </w:rPr>
        <w:t>Diagnose and correct unit-bearing strings, missing values, duplicate records, and invalid values.</w:t>
      </w:r>
    </w:p>
    <w:p>
      <w:pPr>
        <w:numPr>
          <w:ilvl w:val="0"/>
          <w:numId w:val="10"/>
        </w:numPr>
        <w:spacing w:before="0" w:after="160" w:line="280" w:lineRule="auto"/>
      </w:pPr>
      <w:r>
        <w:rPr>
          <w:rFonts w:ascii="Calibri" w:hAnsi="Calibri" w:eastAsia="Calibri"/>
          <w:color w:val="0B2545"/>
          <w:sz w:val="22"/>
        </w:rPr>
        <w:t>Generate, label, and verify transformed variables using documented assumptions.</w:t>
      </w:r>
    </w:p>
    <w:p>
      <w:pPr>
        <w:numPr>
          <w:ilvl w:val="0"/>
          <w:numId w:val="10"/>
        </w:numPr>
        <w:spacing w:before="0" w:after="160" w:line="280" w:lineRule="auto"/>
      </w:pPr>
      <w:r>
        <w:rPr>
          <w:rFonts w:ascii="Calibri" w:hAnsi="Calibri" w:eastAsia="Calibri"/>
          <w:color w:val="0B2545"/>
          <w:sz w:val="22"/>
        </w:rPr>
        <w:t>Append, merge, reshape, and aggregate data while checking that the resulting unit of observation is correct.</w:t>
      </w:r>
    </w:p>
    <w:p>
      <w:pPr>
        <w:numPr>
          <w:ilvl w:val="0"/>
          <w:numId w:val="10"/>
        </w:numPr>
        <w:spacing w:before="0" w:after="160" w:line="280" w:lineRule="auto"/>
      </w:pPr>
      <w:r>
        <w:rPr>
          <w:rFonts w:ascii="Calibri" w:hAnsi="Calibri" w:eastAsia="Calibri"/>
          <w:color w:val="0B2545"/>
          <w:sz w:val="22"/>
        </w:rPr>
        <w:t>Automate repeated work with local macros, loops, conditions, and a small reusable Stata program.</w:t>
      </w:r>
    </w:p>
    <w:p>
      <w:pPr>
        <w:numPr>
          <w:ilvl w:val="0"/>
          <w:numId w:val="10"/>
        </w:numPr>
        <w:spacing w:before="0" w:after="160" w:line="280" w:lineRule="auto"/>
      </w:pPr>
      <w:r>
        <w:rPr>
          <w:rFonts w:ascii="Calibri" w:hAnsi="Calibri" w:eastAsia="Calibri"/>
          <w:color w:val="0B2545"/>
          <w:sz w:val="22"/>
        </w:rPr>
        <w:t>Produce descriptive tables and purposeful graphics and export them reproducibly.</w:t>
      </w:r>
    </w:p>
    <w:p>
      <w:pPr>
        <w:numPr>
          <w:ilvl w:val="0"/>
          <w:numId w:val="10"/>
        </w:numPr>
        <w:spacing w:before="0" w:after="160" w:line="280" w:lineRule="auto"/>
      </w:pPr>
      <w:r>
        <w:rPr>
          <w:rFonts w:ascii="Calibri" w:hAnsi="Calibri" w:eastAsia="Calibri"/>
          <w:color w:val="0B2545"/>
          <w:sz w:val="22"/>
        </w:rPr>
        <w:t>Read unfamiliar Stata output and documentation and explain every submitted command and analytic decision.</w:t>
      </w:r>
    </w:p>
    <w:p>
      <w:pPr>
        <w:widowControl/>
      </w:pPr>
      <w:r>
        <w:rPr>
          <w:rFonts w:ascii="Calibri" w:hAnsi="Calibri" w:eastAsia="Calibri"/>
          <w:color w:val="0B2545"/>
          <w:sz w:val="22"/>
        </w:rPr>
        <w:t>Supplementary materials introduce regression, adjusted predictions, and resampling. These are available for further study and are outside the exam scope for the five-session teaching plan.</w:t>
      </w:r>
    </w:p>
    <w:p>
      <w:pPr>
        <w:pStyle w:val="Heading1"/>
      </w:pPr>
      <w:r>
        <w:rPr>
          <w:rFonts w:ascii="Calibri" w:hAnsi="Calibri" w:eastAsia="Calibri"/>
          <w:color w:val="0B2545"/>
          <w:sz w:val="22"/>
        </w:rPr>
        <w:t>Learning activities and teaching methods</w:t>
      </w:r>
    </w:p>
    <w:p>
      <w:pPr>
        <w:widowControl/>
      </w:pPr>
      <w:r>
        <w:rPr>
          <w:rFonts w:ascii="Calibri" w:hAnsi="Calibri" w:eastAsia="Calibri"/>
          <w:color w:val="0B2545"/>
          <w:sz w:val="22"/>
        </w:rPr>
        <w:t>The course consists of five interactive 100-minute teaching sessions and a final in-class exam in the sixth scheduled meeting. Teaching time combines concise explanations, live coding, prediction questions, debugging, and individual practice. Students type, run, inspect, and revise code throughout the session rather than watching a completed demonstration.</w:t>
      </w:r>
    </w:p>
    <w:p>
      <w:pPr>
        <w:keepNext/>
        <w:widowControl/>
      </w:pPr>
      <w:r>
        <w:rPr>
          <w:rFonts w:ascii="Calibri" w:hAnsi="Calibri" w:eastAsia="Calibri"/>
          <w:color w:val="0B2545"/>
          <w:sz w:val="22"/>
        </w:rPr>
        <w:t>The teaching sessions have two connected components:</w:t>
      </w:r>
    </w:p>
    <w:p>
      <w:pPr>
        <w:numPr>
          <w:ilvl w:val="0"/>
          <w:numId w:val="11"/>
        </w:numPr>
        <w:spacing w:before="0" w:after="160" w:line="280" w:lineRule="auto"/>
      </w:pPr>
      <w:r>
        <w:rPr>
          <w:rFonts w:ascii="Calibri" w:hAnsi="Calibri" w:eastAsia="Calibri"/>
          <w:color w:val="0B2545"/>
          <w:sz w:val="22"/>
        </w:rPr>
        <w:t>An annotated lecture do-file introduces the session's concepts.</w:t>
      </w:r>
    </w:p>
    <w:p>
      <w:pPr>
        <w:numPr>
          <w:ilvl w:val="0"/>
          <w:numId w:val="11"/>
        </w:numPr>
        <w:spacing w:before="0" w:after="160" w:line="280" w:lineRule="auto"/>
      </w:pPr>
      <w:r>
        <w:rPr>
          <w:rFonts w:ascii="Calibri" w:hAnsi="Calibri" w:eastAsia="Calibri"/>
          <w:color w:val="0B2545"/>
          <w:sz w:val="22"/>
        </w:rPr>
        <w:t>An exercise applies a variation of those concepts to real, anonymized hotel-price data.</w:t>
      </w:r>
    </w:p>
    <w:p>
      <w:pPr>
        <w:widowControl/>
      </w:pPr>
      <w:r>
        <w:rPr>
          <w:rFonts w:ascii="Calibri" w:hAnsi="Calibri" w:eastAsia="Calibri"/>
          <w:color w:val="0B2545"/>
          <w:sz w:val="22"/>
        </w:rPr>
        <w:t>Session 1's exercise is ungraded practice. In Sessions 2–5, students submit an individual, reproducible exercise attempt as the graded checkpoint. There is no checkpoint in the exam meeting.</w:t>
      </w:r>
    </w:p>
    <w:p>
      <w:pPr>
        <w:widowControl/>
      </w:pPr>
      <w:r>
        <w:rPr>
          <w:rFonts w:ascii="Calibri" w:hAnsi="Calibri" w:eastAsia="Calibri"/>
          <w:color w:val="0B2545"/>
          <w:sz w:val="22"/>
        </w:rPr>
        <w:t>The course uses hotel data prepared for Békés and Kézdi's Data Analysis for Business, Economics, and Policy. The source anonymized and slightly altered hotel records to protect confidentiality. Small attributed extracts are committed to the repository, so classroom work does not require a live data download.</w:t>
      </w:r>
    </w:p>
    <w:p>
      <w:pPr>
        <w:pStyle w:val="Heading1"/>
      </w:pPr>
      <w:r>
        <w:rPr>
          <w:rFonts w:ascii="Calibri" w:hAnsi="Calibri" w:eastAsia="Calibri"/>
          <w:color w:val="0B2545"/>
          <w:sz w:val="22"/>
        </w:rPr>
        <w:t>Assessment</w:t>
      </w:r>
    </w:p>
    <w:p>
      <w:pPr>
        <w:widowControl/>
      </w:pPr>
      <w:r>
        <w:rPr>
          <w:rFonts w:ascii="Calibri" w:hAnsi="Calibri" w:eastAsia="Calibri"/>
          <w:color w:val="0B2545"/>
          <w:sz w:val="22"/>
        </w:rPr>
        <w:t xml:space="preserve">The course is graded </w:t>
      </w:r>
      <w:r>
        <w:rPr>
          <w:rFonts w:ascii="Calibri" w:hAnsi="Calibri" w:eastAsia="Calibri"/>
          <w:b/>
          <w:color w:val="0B2545"/>
          <w:sz w:val="22"/>
        </w:rPr>
        <w:t>Pass/Fail</w:t>
      </w:r>
      <w:r>
        <w:rPr>
          <w:rFonts w:ascii="Calibri" w:hAnsi="Calibri" w:eastAsia="Calibri"/>
          <w:color w:val="0B2545"/>
          <w:sz w:val="22"/>
        </w:rPr>
        <w:t xml:space="preserve"> on a total score out of 100. A total score of </w:t>
      </w:r>
      <w:r>
        <w:rPr>
          <w:rFonts w:ascii="Calibri" w:hAnsi="Calibri" w:eastAsia="Calibri"/>
          <w:b/>
          <w:color w:val="0B2545"/>
          <w:sz w:val="22"/>
        </w:rPr>
        <w:t>60 or higher</w:t>
      </w:r>
      <w:r>
        <w:rPr>
          <w:rFonts w:ascii="Calibri" w:hAnsi="Calibri" w:eastAsia="Calibri"/>
          <w:color w:val="0B2545"/>
          <w:sz w:val="22"/>
        </w:rPr>
        <w:t xml:space="preserve"> is required to pass.</w:t>
      </w:r>
    </w:p>
    <w:tbl>
      <w:tblPr>
        <w:tblStyle w:val="TableGrid"/>
        <w:tblW w:type="dxa" w:w="9360"/>
        <w:tblLayout w:type="fixed"/>
        <w:tblLook w:firstColumn="1" w:firstRow="1" w:lastColumn="0" w:lastRow="0" w:noHBand="0" w:noVBand="1" w:val="04A0"/>
        <w:tblInd w:w="120" w:type="dxa"/>
      </w:tblPr>
      <w:tblGrid>
        <w:gridCol w:w="3168"/>
        <w:gridCol w:w="1080"/>
        <w:gridCol w:w="5112"/>
      </w:tblGrid>
      <w:tr>
        <w:trPr>
          <w:tblHeader w:val="true"/>
        </w:trPr>
        <w:tc>
          <w:tcPr>
            <w:tcW w:type="dxa" w:w="3168"/>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20"/>
              </w:rPr>
            </w:r>
            <w:r>
              <w:rPr>
                <w:rFonts w:ascii="Calibri" w:hAnsi="Calibri" w:eastAsia="Calibri"/>
                <w:b/>
                <w:color w:val="0B2545"/>
                <w:sz w:val="20"/>
              </w:rPr>
              <w:t>Component</w:t>
            </w:r>
          </w:p>
        </w:tc>
        <w:tc>
          <w:tcPr>
            <w:tcW w:type="dxa" w:w="1080"/>
            <w:tcMar>
              <w:top w:w="80" w:type="dxa"/>
              <w:bottom w:w="80" w:type="dxa"/>
              <w:start w:w="120" w:type="dxa"/>
              <w:end w:w="120" w:type="dxa"/>
            </w:tcMar>
            <w:vAlign w:val="center"/>
            <w:shd w:fill="F2F4F7"/>
          </w:tcPr>
          <w:p>
            <w:pPr>
              <w:spacing w:before="0" w:after="40" w:line="240" w:lineRule="auto"/>
              <w:jc w:val="center"/>
            </w:pPr>
            <w:r>
              <w:rPr>
                <w:rFonts w:ascii="Calibri" w:hAnsi="Calibri" w:eastAsia="Calibri"/>
                <w:b/>
                <w:color w:val="0B2545"/>
                <w:sz w:val="20"/>
              </w:rPr>
            </w:r>
            <w:r>
              <w:rPr>
                <w:rFonts w:ascii="Calibri" w:hAnsi="Calibri" w:eastAsia="Calibri"/>
                <w:b/>
                <w:color w:val="0B2545"/>
                <w:sz w:val="20"/>
              </w:rPr>
              <w:t>Weight</w:t>
            </w:r>
          </w:p>
        </w:tc>
        <w:tc>
          <w:tcPr>
            <w:tcW w:type="dxa" w:w="5112"/>
            <w:tcMar>
              <w:top w:w="80" w:type="dxa"/>
              <w:bottom w:w="80" w:type="dxa"/>
              <w:start w:w="120" w:type="dxa"/>
              <w:end w:w="120" w:type="dxa"/>
            </w:tcMar>
            <w:vAlign w:val="center"/>
            <w:shd w:fill="F2F4F7"/>
          </w:tcPr>
          <w:p>
            <w:pPr>
              <w:spacing w:before="0" w:after="40" w:line="240" w:lineRule="auto"/>
            </w:pPr>
            <w:r>
              <w:rPr>
                <w:rFonts w:ascii="Calibri" w:hAnsi="Calibri" w:eastAsia="Calibri"/>
                <w:b/>
                <w:color w:val="0B2545"/>
                <w:sz w:val="20"/>
              </w:rPr>
            </w:r>
            <w:r>
              <w:rPr>
                <w:rFonts w:ascii="Calibri" w:hAnsi="Calibri" w:eastAsia="Calibri"/>
                <w:b/>
                <w:color w:val="0B2545"/>
                <w:sz w:val="20"/>
              </w:rPr>
              <w:t>Detail</w:t>
            </w:r>
          </w:p>
        </w:tc>
      </w:tr>
      <w:tr>
        <w:tc>
          <w:tcPr>
            <w:tcW w:type="dxa" w:w="3168"/>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In-class checkpoints</w:t>
            </w:r>
          </w:p>
        </w:tc>
        <w:tc>
          <w:tcPr>
            <w:tcW w:type="dxa" w:w="1080"/>
            <w:tcMar>
              <w:top w:w="80" w:type="dxa"/>
              <w:bottom w:w="80" w:type="dxa"/>
              <w:start w:w="120" w:type="dxa"/>
              <w:end w:w="120" w:type="dxa"/>
            </w:tcMar>
            <w:vAlign w:val="center"/>
          </w:tcPr>
          <w:p>
            <w:pPr>
              <w:spacing w:before="0" w:after="40" w:line="240" w:lineRule="auto"/>
              <w:jc w:val="center"/>
            </w:pPr>
            <w:r>
              <w:rPr>
                <w:rFonts w:ascii="Calibri" w:hAnsi="Calibri" w:eastAsia="Calibri"/>
                <w:b w:val="0"/>
                <w:color w:val="0B2545"/>
                <w:sz w:val="20"/>
              </w:rPr>
            </w:r>
            <w:r>
              <w:rPr>
                <w:rFonts w:ascii="Calibri" w:hAnsi="Calibri" w:eastAsia="Calibri"/>
                <w:b w:val="0"/>
                <w:color w:val="0B2545"/>
                <w:sz w:val="20"/>
              </w:rPr>
              <w:t>40%</w:t>
            </w:r>
          </w:p>
        </w:tc>
        <w:tc>
          <w:tcPr>
            <w:tcW w:type="dxa" w:w="5112"/>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Four short individual do-files in Sessions 2–5, each worth 10% of the total course score. Assessed for a reasonable, reproducible attempt.</w:t>
            </w:r>
          </w:p>
        </w:tc>
      </w:tr>
      <w:tr>
        <w:tc>
          <w:tcPr>
            <w:tcW w:type="dxa" w:w="3168"/>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Final in-class exam</w:t>
            </w:r>
          </w:p>
        </w:tc>
        <w:tc>
          <w:tcPr>
            <w:tcW w:type="dxa" w:w="1080"/>
            <w:tcMar>
              <w:top w:w="80" w:type="dxa"/>
              <w:bottom w:w="80" w:type="dxa"/>
              <w:start w:w="120" w:type="dxa"/>
              <w:end w:w="120" w:type="dxa"/>
            </w:tcMar>
            <w:vAlign w:val="center"/>
          </w:tcPr>
          <w:p>
            <w:pPr>
              <w:spacing w:before="0" w:after="40" w:line="240" w:lineRule="auto"/>
              <w:jc w:val="center"/>
            </w:pPr>
            <w:r>
              <w:rPr>
                <w:rFonts w:ascii="Calibri" w:hAnsi="Calibri" w:eastAsia="Calibri"/>
                <w:b w:val="0"/>
                <w:color w:val="0B2545"/>
                <w:sz w:val="20"/>
              </w:rPr>
            </w:r>
            <w:r>
              <w:rPr>
                <w:rFonts w:ascii="Calibri" w:hAnsi="Calibri" w:eastAsia="Calibri"/>
                <w:b w:val="0"/>
                <w:color w:val="0B2545"/>
                <w:sz w:val="20"/>
              </w:rPr>
              <w:t>60%</w:t>
            </w:r>
          </w:p>
        </w:tc>
        <w:tc>
          <w:tcPr>
            <w:tcW w:type="dxa" w:w="5112"/>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20"/>
              </w:rPr>
            </w:r>
            <w:r>
              <w:rPr>
                <w:rFonts w:ascii="Calibri" w:hAnsi="Calibri" w:eastAsia="Calibri"/>
                <w:b w:val="0"/>
                <w:color w:val="0B2545"/>
                <w:sz w:val="20"/>
              </w:rPr>
              <w:t>Individual exam in Session 6 on 19 October, covering the material taught in Sessions 1–5.</w:t>
            </w:r>
          </w:p>
        </w:tc>
      </w:tr>
    </w:tbl>
    <w:p>
      <w:pPr>
        <w:spacing w:after="0"/>
      </w:pPr>
    </w:p>
    <w:p>
      <w:pPr>
        <w:widowControl/>
      </w:pPr>
      <w:r>
        <w:rPr>
          <w:rFonts w:ascii="Calibri" w:hAnsi="Calibri" w:eastAsia="Calibri"/>
          <w:color w:val="0B2545"/>
          <w:sz w:val="22"/>
        </w:rPr>
        <w:t>Session 1 is ungraded practice. Session 6 has the final exam and no checkpoint. The four checkpoints and the final exam are the only graded components.</w:t>
      </w:r>
    </w:p>
    <w:p>
      <w:pPr>
        <w:pStyle w:val="Heading2"/>
      </w:pPr>
      <w:r>
        <w:rPr>
          <w:rFonts w:ascii="Calibri" w:hAnsi="Calibri" w:eastAsia="Calibri"/>
          <w:color w:val="0B2545"/>
          <w:sz w:val="22"/>
        </w:rPr>
        <w:t>In-class checkpoints</w:t>
      </w:r>
    </w:p>
    <w:p>
      <w:pPr>
        <w:keepNext/>
        <w:widowControl/>
      </w:pPr>
      <w:r>
        <w:rPr>
          <w:rFonts w:ascii="Calibri" w:hAnsi="Calibri" w:eastAsia="Calibri"/>
          <w:color w:val="0B2545"/>
          <w:sz w:val="22"/>
        </w:rPr>
        <w:t>Checkpoint work is assessed on whether the student:</w:t>
      </w:r>
    </w:p>
    <w:p>
      <w:pPr>
        <w:numPr>
          <w:ilvl w:val="0"/>
          <w:numId w:val="10"/>
        </w:numPr>
        <w:spacing w:before="0" w:after="160" w:line="280" w:lineRule="auto"/>
      </w:pPr>
      <w:r>
        <w:rPr>
          <w:rFonts w:ascii="Calibri" w:hAnsi="Calibri" w:eastAsia="Calibri"/>
          <w:color w:val="0B2545"/>
          <w:sz w:val="22"/>
        </w:rPr>
        <w:t>Uses the requested Stata concepts for the session.</w:t>
      </w:r>
    </w:p>
    <w:p>
      <w:pPr>
        <w:numPr>
          <w:ilvl w:val="0"/>
          <w:numId w:val="10"/>
        </w:numPr>
        <w:spacing w:before="0" w:after="160" w:line="280" w:lineRule="auto"/>
      </w:pPr>
      <w:r>
        <w:rPr>
          <w:rFonts w:ascii="Calibri" w:hAnsi="Calibri" w:eastAsia="Calibri"/>
          <w:color w:val="0B2545"/>
          <w:sz w:val="22"/>
        </w:rPr>
        <w:t>Works from the repository root with relative paths.</w:t>
      </w:r>
    </w:p>
    <w:p>
      <w:pPr>
        <w:numPr>
          <w:ilvl w:val="0"/>
          <w:numId w:val="10"/>
        </w:numPr>
        <w:spacing w:before="0" w:after="160" w:line="280" w:lineRule="auto"/>
      </w:pPr>
      <w:r>
        <w:rPr>
          <w:rFonts w:ascii="Calibri" w:hAnsi="Calibri" w:eastAsia="Calibri"/>
          <w:color w:val="0B2545"/>
          <w:sz w:val="22"/>
        </w:rPr>
        <w:t>Preserves raw inputs and writes generated material to the designated folders.</w:t>
      </w:r>
    </w:p>
    <w:p>
      <w:pPr>
        <w:numPr>
          <w:ilvl w:val="0"/>
          <w:numId w:val="10"/>
        </w:numPr>
        <w:spacing w:before="0" w:after="160" w:line="280" w:lineRule="auto"/>
      </w:pPr>
      <w:r>
        <w:rPr>
          <w:rFonts w:ascii="Calibri" w:hAnsi="Calibri" w:eastAsia="Calibri"/>
          <w:color w:val="0B2545"/>
          <w:sz w:val="22"/>
        </w:rPr>
        <w:t>Includes useful validation or diagnostic commands.</w:t>
      </w:r>
    </w:p>
    <w:p>
      <w:pPr>
        <w:numPr>
          <w:ilvl w:val="0"/>
          <w:numId w:val="10"/>
        </w:numPr>
        <w:spacing w:before="0" w:after="160" w:line="280" w:lineRule="auto"/>
      </w:pPr>
      <w:r>
        <w:rPr>
          <w:rFonts w:ascii="Calibri" w:hAnsi="Calibri" w:eastAsia="Calibri"/>
          <w:color w:val="0B2545"/>
          <w:sz w:val="22"/>
        </w:rPr>
        <w:t>Submits an executable do-file with concise comments.</w:t>
      </w:r>
    </w:p>
    <w:p>
      <w:pPr>
        <w:widowControl/>
      </w:pPr>
      <w:r>
        <w:rPr>
          <w:rFonts w:ascii="Calibri" w:hAnsi="Calibri" w:eastAsia="Calibri"/>
          <w:color w:val="0B2545"/>
          <w:sz w:val="22"/>
        </w:rPr>
        <w:t>Perfect results are not required for full checkpoint credit; a complete and clearly documented attempt is. Submission instructions and any make-up procedure are announced in class.</w:t>
      </w:r>
    </w:p>
    <w:p>
      <w:pPr>
        <w:pStyle w:val="Heading2"/>
      </w:pPr>
      <w:r>
        <w:rPr>
          <w:rFonts w:ascii="Calibri" w:hAnsi="Calibri" w:eastAsia="Calibri"/>
          <w:color w:val="0B2545"/>
          <w:sz w:val="22"/>
        </w:rPr>
        <w:t>Final in-class exam</w:t>
      </w:r>
    </w:p>
    <w:p>
      <w:pPr>
        <w:widowControl/>
      </w:pPr>
      <w:r>
        <w:rPr>
          <w:rFonts w:ascii="Calibri" w:hAnsi="Calibri" w:eastAsia="Calibri"/>
          <w:color w:val="0B2545"/>
          <w:sz w:val="22"/>
        </w:rPr>
        <w:t>The individual final exam takes place during Session 6 on 19 October 2026. It assesses the Stata concepts and reproducible workflow taught in Sessions 1–5. There is no new lecture or separate checkpoint in this meeting.</w:t>
      </w:r>
    </w:p>
    <w:p>
      <w:pPr>
        <w:widowControl/>
      </w:pPr>
      <w:r>
        <w:rPr>
          <w:rFonts w:ascii="Calibri" w:hAnsi="Calibri" w:eastAsia="Calibri"/>
          <w:color w:val="0B2545"/>
          <w:sz w:val="22"/>
        </w:rPr>
        <w:t xml:space="preserve">The exam format, duration within the scheduled meeting, task-level marking scheme, dataset, permitted resources, and submission instructions are </w:t>
      </w:r>
      <w:r>
        <w:rPr>
          <w:rFonts w:ascii="Calibri" w:hAnsi="Calibri" w:eastAsia="Calibri"/>
          <w:b/>
          <w:color w:val="0B2545"/>
          <w:sz w:val="22"/>
        </w:rPr>
        <w:t>TBD</w:t>
      </w:r>
      <w:r>
        <w:rPr>
          <w:rFonts w:ascii="Calibri" w:hAnsi="Calibri" w:eastAsia="Calibri"/>
          <w:color w:val="0B2545"/>
          <w:sz w:val="22"/>
        </w:rPr>
        <w:t xml:space="preserve"> and will be announced before the exam. Assessment tasks and marking materials are distributed separately by the instructor, rather than in the public repository.</w:t>
      </w:r>
    </w:p>
    <w:p>
      <w:pPr>
        <w:pStyle w:val="Heading1"/>
      </w:pPr>
      <w:r>
        <w:rPr>
          <w:rFonts w:ascii="Calibri" w:hAnsi="Calibri" w:eastAsia="Calibri"/>
          <w:color w:val="0B2545"/>
          <w:sz w:val="22"/>
        </w:rPr>
        <w:t>AI and assistance policy</w:t>
      </w:r>
    </w:p>
    <w:p>
      <w:pPr>
        <w:widowControl/>
      </w:pPr>
      <w:r>
        <w:rPr>
          <w:rFonts w:ascii="Calibri" w:hAnsi="Calibri" w:eastAsia="Calibri"/>
          <w:color w:val="0B2545"/>
          <w:sz w:val="22"/>
        </w:rPr>
        <w:t>In-class checkpoints are completed without generative AI or AI-enabled coding tools unless an activity explicitly states otherwise. Students may consult Stata's built-in help and the course materials.</w:t>
      </w:r>
    </w:p>
    <w:p>
      <w:pPr>
        <w:widowControl/>
      </w:pPr>
      <w:r>
        <w:rPr>
          <w:rFonts w:ascii="Calibri" w:hAnsi="Calibri" w:eastAsia="Calibri"/>
          <w:color w:val="0B2545"/>
          <w:sz w:val="22"/>
        </w:rPr>
        <w:t xml:space="preserve">The final exam's permitted-resource and AI rules are </w:t>
      </w:r>
      <w:r>
        <w:rPr>
          <w:rFonts w:ascii="Calibri" w:hAnsi="Calibri" w:eastAsia="Calibri"/>
          <w:b/>
          <w:color w:val="0B2545"/>
          <w:sz w:val="22"/>
        </w:rPr>
        <w:t>TBD</w:t>
      </w:r>
      <w:r>
        <w:rPr>
          <w:rFonts w:ascii="Calibri" w:hAnsi="Calibri" w:eastAsia="Calibri"/>
          <w:color w:val="0B2545"/>
          <w:sz w:val="22"/>
        </w:rPr>
        <w:t xml:space="preserve"> and will be announced before the exam. Permission to use help or other resources during practice and checkpoints does not establish permission to use them in the exam. Students remain responsible for every submitted line and conclusion.</w:t>
      </w:r>
    </w:p>
    <w:p>
      <w:pPr>
        <w:pStyle w:val="Heading1"/>
      </w:pPr>
      <w:r>
        <w:rPr>
          <w:rFonts w:ascii="Calibri" w:hAnsi="Calibri" w:eastAsia="Calibri"/>
          <w:color w:val="0B2545"/>
          <w:sz w:val="22"/>
        </w:rPr>
        <w:t>Course contents and schedule</w:t>
      </w:r>
    </w:p>
    <w:p>
      <w:pPr>
        <w:pStyle w:val="Heading2"/>
      </w:pPr>
      <w:r>
        <w:rPr>
          <w:rFonts w:ascii="Calibri" w:hAnsi="Calibri" w:eastAsia="Calibri"/>
          <w:color w:val="0B2545"/>
          <w:sz w:val="22"/>
        </w:rPr>
        <w:t>Session 1 — 14 September · Stata workflow</w:t>
      </w:r>
    </w:p>
    <w:p>
      <w:pPr>
        <w:numPr>
          <w:ilvl w:val="0"/>
          <w:numId w:val="10"/>
        </w:numPr>
        <w:spacing w:before="0" w:after="160" w:line="280" w:lineRule="auto"/>
      </w:pPr>
      <w:r>
        <w:rPr>
          <w:rFonts w:ascii="Calibri" w:hAnsi="Calibri" w:eastAsia="Calibri"/>
          <w:color w:val="0B2545"/>
          <w:sz w:val="22"/>
        </w:rPr>
        <w:t>Stata's data, command, results, and do-file workflow.</w:t>
      </w:r>
    </w:p>
    <w:p>
      <w:pPr>
        <w:numPr>
          <w:ilvl w:val="0"/>
          <w:numId w:val="10"/>
        </w:numPr>
        <w:spacing w:before="0" w:after="160" w:line="280" w:lineRule="auto"/>
      </w:pPr>
      <w:r>
        <w:rPr>
          <w:rFonts w:ascii="Calibri" w:hAnsi="Calibri" w:eastAsia="Calibri"/>
          <w:color w:val="0B2545"/>
          <w:sz w:val="22"/>
        </w:rPr>
        <w:t>Repository structure, relative paths, logs, and generated output.</w:t>
      </w:r>
    </w:p>
    <w:p>
      <w:pPr>
        <w:numPr>
          <w:ilvl w:val="0"/>
          <w:numId w:val="10"/>
        </w:numPr>
        <w:spacing w:before="0" w:after="160" w:line="280" w:lineRule="auto"/>
      </w:pPr>
      <w:r>
        <w:rPr>
          <w:rFonts w:ascii="Calibri" w:hAnsi="Calibri" w:eastAsia="Calibri"/>
          <w:color w:val="0B2545"/>
          <w:sz w:val="22"/>
        </w:rPr>
        <w:t xml:space="preserve">Importing a CSV; </w:t>
      </w:r>
      <w:r>
        <w:rPr>
          <w:rFonts w:ascii="Consolas" w:hAnsi="Consolas" w:eastAsia="Consolas"/>
          <w:color w:val="1F4D78"/>
          <w:sz w:val="19"/>
        </w:rPr>
        <w:t>describe</w:t>
      </w:r>
      <w:r>
        <w:rPr>
          <w:rFonts w:ascii="Calibri" w:hAnsi="Calibri" w:eastAsia="Calibri"/>
          <w:color w:val="0B2545"/>
          <w:sz w:val="22"/>
        </w:rPr>
        <w:t xml:space="preserve">, </w:t>
      </w:r>
      <w:r>
        <w:rPr>
          <w:rFonts w:ascii="Consolas" w:hAnsi="Consolas" w:eastAsia="Consolas"/>
          <w:color w:val="1F4D78"/>
          <w:sz w:val="19"/>
        </w:rPr>
        <w:t>codebook</w:t>
      </w:r>
      <w:r>
        <w:rPr>
          <w:rFonts w:ascii="Calibri" w:hAnsi="Calibri" w:eastAsia="Calibri"/>
          <w:color w:val="0B2545"/>
          <w:sz w:val="22"/>
        </w:rPr>
        <w:t xml:space="preserve">, </w:t>
      </w:r>
      <w:r>
        <w:rPr>
          <w:rFonts w:ascii="Consolas" w:hAnsi="Consolas" w:eastAsia="Consolas"/>
          <w:color w:val="1F4D78"/>
          <w:sz w:val="19"/>
        </w:rPr>
        <w:t>summarize</w:t>
      </w:r>
      <w:r>
        <w:rPr>
          <w:rFonts w:ascii="Calibri" w:hAnsi="Calibri" w:eastAsia="Calibri"/>
          <w:color w:val="0B2545"/>
          <w:sz w:val="22"/>
        </w:rPr>
        <w:t xml:space="preserve">, </w:t>
      </w:r>
      <w:r>
        <w:rPr>
          <w:rFonts w:ascii="Consolas" w:hAnsi="Consolas" w:eastAsia="Consolas"/>
          <w:color w:val="1F4D78"/>
          <w:sz w:val="19"/>
        </w:rPr>
        <w:t>tabulate</w:t>
      </w:r>
      <w:r>
        <w:rPr>
          <w:rFonts w:ascii="Calibri" w:hAnsi="Calibri" w:eastAsia="Calibri"/>
          <w:color w:val="0B2545"/>
          <w:sz w:val="22"/>
        </w:rPr>
        <w:t xml:space="preserve">, and </w:t>
      </w:r>
      <w:r>
        <w:rPr>
          <w:rFonts w:ascii="Consolas" w:hAnsi="Consolas" w:eastAsia="Consolas"/>
          <w:color w:val="1F4D78"/>
          <w:sz w:val="19"/>
        </w:rPr>
        <w:t>list</w:t>
      </w:r>
      <w:r>
        <w:rPr>
          <w:rFonts w:ascii="Calibri" w:hAnsi="Calibri" w:eastAsia="Calibri"/>
          <w:color w:val="0B2545"/>
          <w:sz w:val="22"/>
        </w:rPr>
        <w:t>.</w:t>
      </w:r>
    </w:p>
    <w:p>
      <w:pPr>
        <w:numPr>
          <w:ilvl w:val="0"/>
          <w:numId w:val="10"/>
        </w:numPr>
        <w:spacing w:before="0" w:after="160" w:line="280" w:lineRule="auto"/>
      </w:pPr>
      <w:r>
        <w:rPr>
          <w:rFonts w:ascii="Calibri" w:hAnsi="Calibri" w:eastAsia="Calibri"/>
          <w:color w:val="0B2545"/>
          <w:sz w:val="22"/>
        </w:rPr>
        <w:t xml:space="preserve">Candidate keys, duplicate reports, labels, compression, and saving </w:t>
      </w:r>
      <w:r>
        <w:rPr>
          <w:rFonts w:ascii="Consolas" w:hAnsi="Consolas" w:eastAsia="Consolas"/>
          <w:color w:val="1F4D78"/>
          <w:sz w:val="19"/>
        </w:rPr>
        <w:t>.dta</w:t>
      </w:r>
      <w:r>
        <w:rPr>
          <w:rFonts w:ascii="Calibri" w:hAnsi="Calibri" w:eastAsia="Calibri"/>
          <w:color w:val="0B2545"/>
          <w:sz w:val="22"/>
        </w:rPr>
        <w:t xml:space="preserve"> files.</w:t>
      </w:r>
    </w:p>
    <w:p>
      <w:pPr>
        <w:numPr>
          <w:ilvl w:val="0"/>
          <w:numId w:val="10"/>
        </w:numPr>
        <w:spacing w:before="0" w:after="160" w:line="280" w:lineRule="auto"/>
      </w:pPr>
      <w:r>
        <w:rPr>
          <w:rFonts w:ascii="Calibri" w:hAnsi="Calibri" w:eastAsia="Calibri"/>
          <w:color w:val="0B2545"/>
          <w:sz w:val="22"/>
        </w:rPr>
        <w:t xml:space="preserve">Ungraded practice: load the saved </w:t>
      </w:r>
      <w:r>
        <w:rPr>
          <w:rFonts w:ascii="Consolas" w:hAnsi="Consolas" w:eastAsia="Consolas"/>
          <w:color w:val="1F4D78"/>
          <w:sz w:val="19"/>
        </w:rPr>
        <w:t>.dta</w:t>
      </w:r>
      <w:r>
        <w:rPr>
          <w:rFonts w:ascii="Calibri" w:hAnsi="Calibri" w:eastAsia="Calibri"/>
          <w:color w:val="0B2545"/>
          <w:sz w:val="22"/>
        </w:rPr>
        <w:t xml:space="preserve"> file, inspect different fields, and compare star-category subsamples.</w:t>
      </w:r>
    </w:p>
    <w:p>
      <w:pPr>
        <w:pStyle w:val="Heading2"/>
      </w:pPr>
      <w:r>
        <w:rPr>
          <w:rFonts w:ascii="Calibri" w:hAnsi="Calibri" w:eastAsia="Calibri"/>
          <w:color w:val="0B2545"/>
          <w:sz w:val="22"/>
        </w:rPr>
        <w:t>Session 2 — 21 September · Cleaning and transforming</w:t>
      </w:r>
    </w:p>
    <w:p>
      <w:pPr>
        <w:numPr>
          <w:ilvl w:val="0"/>
          <w:numId w:val="10"/>
        </w:numPr>
        <w:spacing w:before="0" w:after="160" w:line="280" w:lineRule="auto"/>
      </w:pPr>
      <w:r>
        <w:rPr>
          <w:rFonts w:ascii="Calibri" w:hAnsi="Calibri" w:eastAsia="Calibri"/>
          <w:color w:val="0B2545"/>
          <w:sz w:val="22"/>
        </w:rPr>
        <w:t>Diagnosing missingness, duplicate hotel records, and inconsistent strings.</w:t>
      </w:r>
    </w:p>
    <w:p>
      <w:pPr>
        <w:numPr>
          <w:ilvl w:val="0"/>
          <w:numId w:val="10"/>
        </w:numPr>
        <w:spacing w:before="0" w:after="160" w:line="280" w:lineRule="auto"/>
      </w:pPr>
      <w:r>
        <w:rPr>
          <w:rFonts w:ascii="Calibri" w:hAnsi="Calibri" w:eastAsia="Calibri"/>
          <w:color w:val="0B2545"/>
          <w:sz w:val="22"/>
        </w:rPr>
        <w:t>Parsing distances, guest ratings, accommodation types, and night counts.</w:t>
      </w:r>
    </w:p>
    <w:p>
      <w:pPr>
        <w:numPr>
          <w:ilvl w:val="0"/>
          <w:numId w:val="10"/>
        </w:numPr>
        <w:spacing w:before="0" w:after="160" w:line="280" w:lineRule="auto"/>
      </w:pPr>
      <w:r>
        <w:rPr>
          <w:rFonts w:ascii="Calibri" w:hAnsi="Calibri" w:eastAsia="Calibri"/>
          <w:color w:val="0B2545"/>
          <w:sz w:val="22"/>
        </w:rPr>
        <w:t>Numeric conversion, missing-value decisions, labels, and units.</w:t>
      </w:r>
    </w:p>
    <w:p>
      <w:pPr>
        <w:numPr>
          <w:ilvl w:val="0"/>
          <w:numId w:val="10"/>
        </w:numPr>
        <w:spacing w:before="0" w:after="160" w:line="280" w:lineRule="auto"/>
      </w:pPr>
      <w:r>
        <w:rPr>
          <w:rFonts w:ascii="Calibri" w:hAnsi="Calibri" w:eastAsia="Calibri"/>
          <w:color w:val="0B2545"/>
          <w:sz w:val="22"/>
        </w:rPr>
        <w:t>Assertions as executable documentation of data expectations.</w:t>
      </w:r>
    </w:p>
    <w:p>
      <w:pPr>
        <w:numPr>
          <w:ilvl w:val="0"/>
          <w:numId w:val="10"/>
        </w:numPr>
        <w:spacing w:before="0" w:after="160" w:line="280" w:lineRule="auto"/>
      </w:pPr>
      <w:r>
        <w:rPr>
          <w:rFonts w:ascii="Calibri" w:hAnsi="Calibri" w:eastAsia="Calibri"/>
          <w:color w:val="0B2545"/>
          <w:sz w:val="22"/>
        </w:rPr>
        <w:t>Checkpoint 1 (10%): clean alternative distance/rating fields, convert units, and validate hotel records.</w:t>
      </w:r>
    </w:p>
    <w:p>
      <w:pPr>
        <w:pStyle w:val="Heading2"/>
      </w:pPr>
      <w:r>
        <w:rPr>
          <w:rFonts w:ascii="Calibri" w:hAnsi="Calibri" w:eastAsia="Calibri"/>
          <w:color w:val="0B2545"/>
          <w:sz w:val="22"/>
        </w:rPr>
        <w:t>Session 3 — 28 September · Combining and reshaping</w:t>
      </w:r>
    </w:p>
    <w:p>
      <w:pPr>
        <w:numPr>
          <w:ilvl w:val="0"/>
          <w:numId w:val="10"/>
        </w:numPr>
        <w:spacing w:before="0" w:after="160" w:line="280" w:lineRule="auto"/>
      </w:pPr>
      <w:r>
        <w:rPr>
          <w:rFonts w:ascii="Calibri" w:hAnsi="Calibri" w:eastAsia="Calibri"/>
          <w:color w:val="0B2545"/>
          <w:sz w:val="22"/>
        </w:rPr>
        <w:t>Unit of observation and key structure.</w:t>
      </w:r>
    </w:p>
    <w:p>
      <w:pPr>
        <w:numPr>
          <w:ilvl w:val="0"/>
          <w:numId w:val="10"/>
        </w:numPr>
        <w:spacing w:before="0" w:after="160" w:line="280" w:lineRule="auto"/>
      </w:pPr>
      <w:r>
        <w:rPr>
          <w:rFonts w:ascii="Calibri" w:hAnsi="Calibri" w:eastAsia="Calibri"/>
          <w:color w:val="0B2545"/>
          <w:sz w:val="22"/>
        </w:rPr>
        <w:t>Appending annual hotel-price extracts and validating stacked records.</w:t>
      </w:r>
    </w:p>
    <w:p>
      <w:pPr>
        <w:numPr>
          <w:ilvl w:val="0"/>
          <w:numId w:val="10"/>
        </w:numPr>
        <w:spacing w:before="0" w:after="160" w:line="280" w:lineRule="auto"/>
      </w:pPr>
      <w:r>
        <w:rPr>
          <w:rFonts w:ascii="Calibri" w:hAnsi="Calibri" w:eastAsia="Calibri"/>
          <w:color w:val="0B2545"/>
          <w:sz w:val="22"/>
        </w:rPr>
        <w:t xml:space="preserve">Many-to-one merges of repeated prices and hotel attributes; interpretation of </w:t>
      </w:r>
      <w:r>
        <w:rPr>
          <w:rFonts w:ascii="Consolas" w:hAnsi="Consolas" w:eastAsia="Consolas"/>
          <w:color w:val="1F4D78"/>
          <w:sz w:val="19"/>
        </w:rPr>
        <w:t>_merge</w:t>
      </w:r>
      <w:r>
        <w:rPr>
          <w:rFonts w:ascii="Calibri" w:hAnsi="Calibri" w:eastAsia="Calibri"/>
          <w:color w:val="0B2545"/>
          <w:sz w:val="22"/>
        </w:rPr>
        <w:t>.</w:t>
      </w:r>
    </w:p>
    <w:p>
      <w:pPr>
        <w:numPr>
          <w:ilvl w:val="0"/>
          <w:numId w:val="10"/>
        </w:numPr>
        <w:spacing w:before="0" w:after="160" w:line="280" w:lineRule="auto"/>
      </w:pPr>
      <w:r>
        <w:rPr>
          <w:rFonts w:ascii="Calibri" w:hAnsi="Calibri" w:eastAsia="Calibri"/>
          <w:color w:val="0B2545"/>
          <w:sz w:val="22"/>
        </w:rPr>
        <w:t xml:space="preserve">Wide and long search-date data, </w:t>
      </w:r>
      <w:r>
        <w:rPr>
          <w:rFonts w:ascii="Consolas" w:hAnsi="Consolas" w:eastAsia="Consolas"/>
          <w:color w:val="1F4D78"/>
          <w:sz w:val="19"/>
        </w:rPr>
        <w:t>reshape</w:t>
      </w:r>
      <w:r>
        <w:rPr>
          <w:rFonts w:ascii="Calibri" w:hAnsi="Calibri" w:eastAsia="Calibri"/>
          <w:color w:val="0B2545"/>
          <w:sz w:val="22"/>
        </w:rPr>
        <w:t xml:space="preserve">, and </w:t>
      </w:r>
      <w:r>
        <w:rPr>
          <w:rFonts w:ascii="Consolas" w:hAnsi="Consolas" w:eastAsia="Consolas"/>
          <w:color w:val="1F4D78"/>
          <w:sz w:val="19"/>
        </w:rPr>
        <w:t>collapse</w:t>
      </w:r>
      <w:r>
        <w:rPr>
          <w:rFonts w:ascii="Calibri" w:hAnsi="Calibri" w:eastAsia="Calibri"/>
          <w:color w:val="0B2545"/>
          <w:sz w:val="22"/>
        </w:rPr>
        <w:t>.</w:t>
      </w:r>
    </w:p>
    <w:p>
      <w:pPr>
        <w:numPr>
          <w:ilvl w:val="0"/>
          <w:numId w:val="10"/>
        </w:numPr>
        <w:spacing w:before="0" w:after="160" w:line="280" w:lineRule="auto"/>
      </w:pPr>
      <w:r>
        <w:rPr>
          <w:rFonts w:ascii="Calibri" w:hAnsi="Calibri" w:eastAsia="Calibri"/>
          <w:color w:val="0B2545"/>
          <w:sz w:val="22"/>
        </w:rPr>
        <w:t>Checkpoint 2 (10%): reverse the merge perspective and reshape city-month aggregates.</w:t>
      </w:r>
    </w:p>
    <w:p>
      <w:pPr>
        <w:pStyle w:val="Heading2"/>
      </w:pPr>
      <w:r>
        <w:rPr>
          <w:rFonts w:ascii="Calibri" w:hAnsi="Calibri" w:eastAsia="Calibri"/>
          <w:color w:val="0B2545"/>
          <w:sz w:val="22"/>
        </w:rPr>
        <w:t>Session 4 — 5 October · Programming in Stata</w:t>
      </w:r>
    </w:p>
    <w:p>
      <w:pPr>
        <w:numPr>
          <w:ilvl w:val="0"/>
          <w:numId w:val="10"/>
        </w:numPr>
        <w:spacing w:before="0" w:after="160" w:line="280" w:lineRule="auto"/>
      </w:pPr>
      <w:r>
        <w:rPr>
          <w:rFonts w:ascii="Calibri" w:hAnsi="Calibri" w:eastAsia="Calibri"/>
          <w:color w:val="0B2545"/>
          <w:sz w:val="22"/>
        </w:rPr>
        <w:t>Local macros and evaluation with backticks and apostrophes.</w:t>
      </w:r>
    </w:p>
    <w:p>
      <w:pPr>
        <w:numPr>
          <w:ilvl w:val="0"/>
          <w:numId w:val="10"/>
        </w:numPr>
        <w:spacing w:before="0" w:after="160" w:line="280" w:lineRule="auto"/>
      </w:pPr>
      <w:r>
        <w:rPr>
          <w:rFonts w:ascii="Consolas" w:hAnsi="Consolas" w:eastAsia="Consolas"/>
          <w:color w:val="1F4D78"/>
          <w:sz w:val="19"/>
        </w:rPr>
        <w:t>foreach</w:t>
      </w:r>
      <w:r>
        <w:rPr>
          <w:rFonts w:ascii="Calibri" w:hAnsi="Calibri" w:eastAsia="Calibri"/>
          <w:color w:val="0B2545"/>
          <w:sz w:val="22"/>
        </w:rPr>
        <w:t xml:space="preserve"> and </w:t>
      </w:r>
      <w:r>
        <w:rPr>
          <w:rFonts w:ascii="Consolas" w:hAnsi="Consolas" w:eastAsia="Consolas"/>
          <w:color w:val="1F4D78"/>
          <w:sz w:val="19"/>
        </w:rPr>
        <w:t>forvalues</w:t>
      </w:r>
      <w:r>
        <w:rPr>
          <w:rFonts w:ascii="Calibri" w:hAnsi="Calibri" w:eastAsia="Calibri"/>
          <w:color w:val="0B2545"/>
          <w:sz w:val="22"/>
        </w:rPr>
        <w:t xml:space="preserve"> loops for genuinely repeated work.</w:t>
      </w:r>
    </w:p>
    <w:p>
      <w:pPr>
        <w:numPr>
          <w:ilvl w:val="0"/>
          <w:numId w:val="10"/>
        </w:numPr>
        <w:spacing w:before="0" w:after="160" w:line="280" w:lineRule="auto"/>
      </w:pPr>
      <w:r>
        <w:rPr>
          <w:rFonts w:ascii="Calibri" w:hAnsi="Calibri" w:eastAsia="Calibri"/>
          <w:color w:val="0B2545"/>
          <w:sz w:val="22"/>
        </w:rPr>
        <w:t>Conditional execution based on data and stored results.</w:t>
      </w:r>
    </w:p>
    <w:p>
      <w:pPr>
        <w:numPr>
          <w:ilvl w:val="0"/>
          <w:numId w:val="10"/>
        </w:numPr>
        <w:spacing w:before="0" w:after="160" w:line="280" w:lineRule="auto"/>
      </w:pPr>
      <w:r>
        <w:rPr>
          <w:rFonts w:ascii="Calibri" w:hAnsi="Calibri" w:eastAsia="Calibri"/>
          <w:color w:val="0B2545"/>
          <w:sz w:val="22"/>
        </w:rPr>
        <w:t xml:space="preserve">Small r-class programs, </w:t>
      </w:r>
      <w:r>
        <w:rPr>
          <w:rFonts w:ascii="Consolas" w:hAnsi="Consolas" w:eastAsia="Consolas"/>
          <w:color w:val="1F4D78"/>
          <w:sz w:val="19"/>
        </w:rPr>
        <w:t>syntax</w:t>
      </w:r>
      <w:r>
        <w:rPr>
          <w:rFonts w:ascii="Calibri" w:hAnsi="Calibri" w:eastAsia="Calibri"/>
          <w:color w:val="0B2545"/>
          <w:sz w:val="22"/>
        </w:rPr>
        <w:t xml:space="preserve">, </w:t>
      </w:r>
      <w:r>
        <w:rPr>
          <w:rFonts w:ascii="Consolas" w:hAnsi="Consolas" w:eastAsia="Consolas"/>
          <w:color w:val="1F4D78"/>
          <w:sz w:val="19"/>
        </w:rPr>
        <w:t>marksample</w:t>
      </w:r>
      <w:r>
        <w:rPr>
          <w:rFonts w:ascii="Calibri" w:hAnsi="Calibri" w:eastAsia="Calibri"/>
          <w:color w:val="0B2545"/>
          <w:sz w:val="22"/>
        </w:rPr>
        <w:t>, and returned scalars.</w:t>
      </w:r>
    </w:p>
    <w:p>
      <w:pPr>
        <w:numPr>
          <w:ilvl w:val="0"/>
          <w:numId w:val="10"/>
        </w:numPr>
        <w:spacing w:before="0" w:after="160" w:line="280" w:lineRule="auto"/>
      </w:pPr>
      <w:r>
        <w:rPr>
          <w:rFonts w:ascii="Calibri" w:hAnsi="Calibri" w:eastAsia="Calibri"/>
          <w:color w:val="0B2545"/>
          <w:sz w:val="22"/>
        </w:rPr>
        <w:t>Checkpoint 3 (10%): automate cutoff comparisons with a reusable spread-summary program.</w:t>
      </w:r>
    </w:p>
    <w:p>
      <w:pPr>
        <w:pStyle w:val="Heading2"/>
      </w:pPr>
      <w:r>
        <w:rPr>
          <w:rFonts w:ascii="Calibri" w:hAnsi="Calibri" w:eastAsia="Calibri"/>
          <w:color w:val="0B2545"/>
          <w:sz w:val="22"/>
        </w:rPr>
        <w:t>Session 5 — 12 October · Descriptive analysis and graphics</w:t>
      </w:r>
    </w:p>
    <w:p>
      <w:pPr>
        <w:numPr>
          <w:ilvl w:val="0"/>
          <w:numId w:val="10"/>
        </w:numPr>
        <w:spacing w:before="0" w:after="160" w:line="280" w:lineRule="auto"/>
      </w:pPr>
      <w:r>
        <w:rPr>
          <w:rFonts w:ascii="Calibri" w:hAnsi="Calibri" w:eastAsia="Calibri"/>
          <w:color w:val="0B2545"/>
          <w:sz w:val="22"/>
        </w:rPr>
        <w:t>Choosing descriptive statistics for variables and questions.</w:t>
      </w:r>
    </w:p>
    <w:p>
      <w:pPr>
        <w:numPr>
          <w:ilvl w:val="0"/>
          <w:numId w:val="10"/>
        </w:numPr>
        <w:spacing w:before="0" w:after="160" w:line="280" w:lineRule="auto"/>
      </w:pPr>
      <w:r>
        <w:rPr>
          <w:rFonts w:ascii="Calibri" w:hAnsi="Calibri" w:eastAsia="Calibri"/>
          <w:color w:val="0B2545"/>
          <w:sz w:val="22"/>
        </w:rPr>
        <w:t>Grouped tables, correlations, aggregation, and export.</w:t>
      </w:r>
    </w:p>
    <w:p>
      <w:pPr>
        <w:numPr>
          <w:ilvl w:val="0"/>
          <w:numId w:val="10"/>
        </w:numPr>
        <w:spacing w:before="0" w:after="160" w:line="280" w:lineRule="auto"/>
      </w:pPr>
      <w:r>
        <w:rPr>
          <w:rFonts w:ascii="Calibri" w:hAnsi="Calibri" w:eastAsia="Calibri"/>
          <w:color w:val="0B2545"/>
          <w:sz w:val="22"/>
        </w:rPr>
        <w:t>Histograms, bar charts, scatterplots, fitted lines, labels, and graph export.</w:t>
      </w:r>
    </w:p>
    <w:p>
      <w:pPr>
        <w:numPr>
          <w:ilvl w:val="0"/>
          <w:numId w:val="10"/>
        </w:numPr>
        <w:spacing w:before="0" w:after="160" w:line="280" w:lineRule="auto"/>
      </w:pPr>
      <w:r>
        <w:rPr>
          <w:rFonts w:ascii="Calibri" w:hAnsi="Calibri" w:eastAsia="Calibri"/>
          <w:color w:val="0B2545"/>
          <w:sz w:val="22"/>
        </w:rPr>
        <w:t>Distinguishing informative graphics from decorative output.</w:t>
      </w:r>
    </w:p>
    <w:p>
      <w:pPr>
        <w:numPr>
          <w:ilvl w:val="0"/>
          <w:numId w:val="10"/>
        </w:numPr>
        <w:spacing w:before="0" w:after="160" w:line="280" w:lineRule="auto"/>
      </w:pPr>
      <w:r>
        <w:rPr>
          <w:rFonts w:ascii="Calibri" w:hAnsi="Calibri" w:eastAsia="Calibri"/>
          <w:color w:val="0B2545"/>
          <w:sz w:val="22"/>
        </w:rPr>
        <w:t>Checkpoint 4 (10%): compare star categories with robust summaries and two purposeful graphs.</w:t>
      </w:r>
    </w:p>
    <w:p>
      <w:pPr>
        <w:pStyle w:val="Heading2"/>
      </w:pPr>
      <w:r>
        <w:rPr>
          <w:rFonts w:ascii="Calibri" w:hAnsi="Calibri" w:eastAsia="Calibri"/>
          <w:color w:val="0B2545"/>
          <w:sz w:val="22"/>
        </w:rPr>
        <w:t>Session 6 — 19 October · Final in-class exam</w:t>
      </w:r>
    </w:p>
    <w:p>
      <w:pPr>
        <w:numPr>
          <w:ilvl w:val="0"/>
          <w:numId w:val="10"/>
        </w:numPr>
        <w:spacing w:before="0" w:after="160" w:line="280" w:lineRule="auto"/>
      </w:pPr>
      <w:r>
        <w:rPr>
          <w:rFonts w:ascii="Calibri" w:hAnsi="Calibri" w:eastAsia="Calibri"/>
          <w:color w:val="0B2545"/>
          <w:sz w:val="22"/>
        </w:rPr>
        <w:t>Individual final exam, worth 60% of the total course score.</w:t>
      </w:r>
    </w:p>
    <w:p>
      <w:pPr>
        <w:numPr>
          <w:ilvl w:val="0"/>
          <w:numId w:val="10"/>
        </w:numPr>
        <w:spacing w:before="0" w:after="160" w:line="280" w:lineRule="auto"/>
      </w:pPr>
      <w:r>
        <w:rPr>
          <w:rFonts w:ascii="Calibri" w:hAnsi="Calibri" w:eastAsia="Calibri"/>
          <w:color w:val="0B2545"/>
          <w:sz w:val="22"/>
        </w:rPr>
        <w:t>Scope: material taught in Sessions 1–5.</w:t>
      </w:r>
    </w:p>
    <w:p>
      <w:pPr>
        <w:numPr>
          <w:ilvl w:val="0"/>
          <w:numId w:val="10"/>
        </w:numPr>
        <w:spacing w:before="0" w:after="160" w:line="280" w:lineRule="auto"/>
      </w:pPr>
      <w:r>
        <w:rPr>
          <w:rFonts w:ascii="Calibri" w:hAnsi="Calibri" w:eastAsia="Calibri"/>
          <w:color w:val="0B2545"/>
          <w:sz w:val="22"/>
        </w:rPr>
        <w:t>No new lecture and no checkpoint.</w:t>
      </w:r>
    </w:p>
    <w:p>
      <w:pPr>
        <w:numPr>
          <w:ilvl w:val="0"/>
          <w:numId w:val="10"/>
        </w:numPr>
        <w:spacing w:before="0" w:after="160" w:line="280" w:lineRule="auto"/>
      </w:pPr>
      <w:r>
        <w:rPr>
          <w:rFonts w:ascii="Calibri" w:hAnsi="Calibri" w:eastAsia="Calibri"/>
          <w:color w:val="0B2545"/>
          <w:sz w:val="22"/>
        </w:rPr>
        <w:t xml:space="preserve">Detailed exam instructions: </w:t>
      </w:r>
      <w:r>
        <w:rPr>
          <w:rFonts w:ascii="Calibri" w:hAnsi="Calibri" w:eastAsia="Calibri"/>
          <w:b/>
          <w:color w:val="0B2545"/>
          <w:sz w:val="22"/>
        </w:rPr>
        <w:t>TBD</w:t>
      </w:r>
      <w:r>
        <w:rPr>
          <w:rFonts w:ascii="Calibri" w:hAnsi="Calibri" w:eastAsia="Calibri"/>
          <w:color w:val="0B2545"/>
          <w:sz w:val="22"/>
        </w:rPr>
        <w:t>, to be announced before the exam.</w:t>
      </w:r>
    </w:p>
    <w:p>
      <w:pPr>
        <w:widowControl/>
      </w:pPr>
      <w:r>
        <w:rPr>
          <w:rFonts w:ascii="Calibri" w:hAnsi="Calibri" w:eastAsia="Calibri"/>
          <w:color w:val="0B2545"/>
          <w:sz w:val="22"/>
        </w:rPr>
        <w:t xml:space="preserve">The existing </w:t>
      </w:r>
      <w:r>
        <w:rPr>
          <w:rFonts w:ascii="Consolas" w:hAnsi="Consolas" w:eastAsia="Consolas"/>
          <w:color w:val="1F4D78"/>
          <w:sz w:val="19"/>
        </w:rPr>
        <w:t>session-06-analysis-simulation</w:t>
      </w:r>
      <w:r>
        <w:rPr>
          <w:rFonts w:ascii="Calibri" w:hAnsi="Calibri" w:eastAsia="Calibri"/>
          <w:color w:val="0B2545"/>
          <w:sz w:val="22"/>
        </w:rPr>
        <w:t xml:space="preserve"> scripts remain available as supplementary, ungraded material. They are not the exam paper or a sixth teaching session.</w:t>
      </w:r>
    </w:p>
    <w:p>
      <w:pPr>
        <w:pStyle w:val="Heading1"/>
      </w:pPr>
      <w:r>
        <w:rPr>
          <w:rFonts w:ascii="Calibri" w:hAnsi="Calibri" w:eastAsia="Calibri"/>
          <w:color w:val="0B2545"/>
          <w:sz w:val="22"/>
        </w:rPr>
        <w:t>Course materials and reproducibility</w:t>
      </w:r>
    </w:p>
    <w:p>
      <w:pPr>
        <w:widowControl/>
      </w:pPr>
      <w:r>
        <w:rPr>
          <w:rFonts w:ascii="Calibri" w:hAnsi="Calibri" w:eastAsia="Calibri"/>
          <w:color w:val="0B2545"/>
          <w:sz w:val="22"/>
        </w:rPr>
        <w:t xml:space="preserve">All required classroom files are stored in the course repository. Attributed hotel CSV files live under </w:t>
      </w:r>
      <w:r>
        <w:rPr>
          <w:rFonts w:ascii="Consolas" w:hAnsi="Consolas" w:eastAsia="Consolas"/>
          <w:color w:val="1F4D78"/>
          <w:sz w:val="19"/>
        </w:rPr>
        <w:t>data/raw/</w:t>
      </w:r>
      <w:r>
        <w:rPr>
          <w:rFonts w:ascii="Calibri" w:hAnsi="Calibri" w:eastAsia="Calibri"/>
          <w:color w:val="0B2545"/>
          <w:sz w:val="22"/>
        </w:rPr>
        <w:t xml:space="preserve">; derived </w:t>
      </w:r>
      <w:r>
        <w:rPr>
          <w:rFonts w:ascii="Consolas" w:hAnsi="Consolas" w:eastAsia="Consolas"/>
          <w:color w:val="1F4D78"/>
          <w:sz w:val="19"/>
        </w:rPr>
        <w:t>.dta</w:t>
      </w:r>
      <w:r>
        <w:rPr>
          <w:rFonts w:ascii="Calibri" w:hAnsi="Calibri" w:eastAsia="Calibri"/>
          <w:color w:val="0B2545"/>
          <w:sz w:val="22"/>
        </w:rPr>
        <w:t xml:space="preserve"> files, logs, figures, and tables are regenerated and are not part of the published source history. The data are covered by source-specific reuse terms documented in </w:t>
      </w:r>
      <w:r>
        <w:rPr>
          <w:rFonts w:ascii="Consolas" w:hAnsi="Consolas" w:eastAsia="Consolas"/>
          <w:color w:val="1F4D78"/>
          <w:sz w:val="19"/>
        </w:rPr>
        <w:t>DATA_LICENSE.md</w:t>
      </w:r>
      <w:r>
        <w:rPr>
          <w:rFonts w:ascii="Calibri" w:hAnsi="Calibri" w:eastAsia="Calibri"/>
          <w:color w:val="0B2545"/>
          <w:sz w:val="22"/>
        </w:rPr>
        <w:t>: hotel files are for educational, non-commercial use.</w:t>
      </w:r>
    </w:p>
    <w:p>
      <w:pPr>
        <w:keepNext/>
        <w:widowControl/>
      </w:pPr>
      <w:r>
        <w:rPr>
          <w:rFonts w:ascii="Calibri" w:hAnsi="Calibri" w:eastAsia="Calibri"/>
          <w:color w:val="0B2545"/>
          <w:sz w:val="22"/>
        </w:rPr>
        <w:t>For instructor verification, the complete repository workflow, including supplementary analysis examples, is:</w:t>
      </w:r>
    </w:p>
    <w:p>
      <w:pPr>
        <w:pStyle w:val="CodeBlock"/>
        <w:shd w:fill="F4F6F9"/>
      </w:pPr>
      <w:r>
        <w:rPr>
          <w:rFonts w:ascii="Consolas" w:hAnsi="Consolas" w:eastAsia="Consolas"/>
          <w:color w:val="1F4D78"/>
          <w:sz w:val="19"/>
        </w:rPr>
        <w:t>do "scripts/00_master.do"</w:t>
      </w:r>
    </w:p>
    <w:p>
      <w:pPr>
        <w:widowControl/>
      </w:pPr>
      <w:r>
        <w:rPr>
          <w:rFonts w:ascii="Calibri" w:hAnsi="Calibri" w:eastAsia="Calibri"/>
          <w:color w:val="0B2545"/>
          <w:sz w:val="22"/>
        </w:rPr>
        <w:t xml:space="preserve">Students should use Stata's </w:t>
      </w:r>
      <w:r>
        <w:rPr>
          <w:rFonts w:ascii="Consolas" w:hAnsi="Consolas" w:eastAsia="Consolas"/>
          <w:color w:val="1F4D78"/>
          <w:sz w:val="19"/>
        </w:rPr>
        <w:t>help</w:t>
      </w:r>
      <w:r>
        <w:rPr>
          <w:rFonts w:ascii="Calibri" w:hAnsi="Calibri" w:eastAsia="Calibri"/>
          <w:color w:val="0B2545"/>
          <w:sz w:val="22"/>
        </w:rPr>
        <w:t xml:space="preserve"> command before relying on third-party examples. Relevant reference material includes Stata's official documentation, Békés and Kézdi's </w:t>
      </w:r>
      <w:hyperlink r:id="rId13">
        <w:r>
          <w:rPr>
            <w:rFonts w:ascii="Calibri" w:hAnsi="Calibri"/>
            <w:color w:val="0563C1"/>
            <w:u w:val="single"/>
            <w:sz w:val="22"/>
          </w:rPr>
          <w:t>Data Analysis for Business, Economics, and Policy</w:t>
        </w:r>
      </w:hyperlink>
      <w:r>
        <w:rPr>
          <w:rFonts w:ascii="Calibri" w:hAnsi="Calibri" w:eastAsia="Calibri"/>
          <w:color w:val="0B2545"/>
          <w:sz w:val="22"/>
        </w:rPr>
        <w:t xml:space="preserve">, and the Data Carpentry </w:t>
      </w:r>
      <w:hyperlink r:id="rId14">
        <w:r>
          <w:rPr>
            <w:rFonts w:ascii="Calibri" w:hAnsi="Calibri"/>
            <w:color w:val="0563C1"/>
            <w:u w:val="single"/>
            <w:sz w:val="22"/>
          </w:rPr>
          <w:t>Economics with Stata</w:t>
        </w:r>
      </w:hyperlink>
      <w:r>
        <w:rPr>
          <w:rFonts w:ascii="Calibri" w:hAnsi="Calibri" w:eastAsia="Calibri"/>
          <w:color w:val="0B2545"/>
          <w:sz w:val="22"/>
        </w:rPr>
        <w:t xml:space="preserve"> lessons. Dataset documentation is available for </w:t>
      </w:r>
      <w:hyperlink r:id="rId15">
        <w:r>
          <w:rPr>
            <w:rFonts w:ascii="Calibri" w:hAnsi="Calibri"/>
            <w:color w:val="0563C1"/>
            <w:u w:val="single"/>
            <w:sz w:val="22"/>
          </w:rPr>
          <w:t>hotels in Vienna</w:t>
        </w:r>
      </w:hyperlink>
      <w:r>
        <w:rPr>
          <w:rFonts w:ascii="Calibri" w:hAnsi="Calibri" w:eastAsia="Calibri"/>
          <w:color w:val="0B2545"/>
          <w:sz w:val="22"/>
        </w:rPr>
        <w:t xml:space="preserve">, </w:t>
      </w:r>
      <w:hyperlink r:id="rId16">
        <w:r>
          <w:rPr>
            <w:rFonts w:ascii="Calibri" w:hAnsi="Calibri"/>
            <w:color w:val="0563C1"/>
            <w:u w:val="single"/>
            <w:sz w:val="22"/>
          </w:rPr>
          <w:t>hotels in Europe</w:t>
        </w:r>
      </w:hyperlink>
      <w:r>
        <w:rPr>
          <w:rFonts w:ascii="Calibri" w:hAnsi="Calibri" w:eastAsia="Calibri"/>
          <w:color w:val="0B2545"/>
          <w:sz w:val="22"/>
        </w:rPr>
        <w:t xml:space="preserve">. The official CEU module description is available in the </w:t>
      </w:r>
      <w:hyperlink r:id="rId17">
        <w:r>
          <w:rPr>
            <w:rFonts w:ascii="Calibri" w:hAnsi="Calibri"/>
            <w:color w:val="0563C1"/>
            <w:u w:val="single"/>
            <w:sz w:val="22"/>
          </w:rPr>
          <w:t>Study Guide</w:t>
        </w:r>
      </w:hyperlink>
      <w:r>
        <w:rPr>
          <w:rFonts w:ascii="Calibri" w:hAnsi="Calibri" w:eastAsia="Calibri"/>
          <w:color w:val="0B2545"/>
          <w:sz w:val="22"/>
        </w:rPr>
        <w:t>, and meeting dates are published in the CEU timetable.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6666"/>
        <w:sz w:val="18"/>
      </w:rPr>
      <w:t xml:space="preserve">Introduction to Stata  ·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6666"/>
        <w:sz w:val="17"/>
      </w:rPr>
      <w:t>INTRODUCTION TO STATA · ECBS5241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88" w:right="288"/>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wohaku@ceu.edu" TargetMode="External"/><Relationship Id="rId12" Type="http://schemas.openxmlformats.org/officeDocument/2006/relationships/hyperlink" Target="https://github.com/ulrichwohak/Introduction-to-Stata" TargetMode="External"/><Relationship Id="rId13" Type="http://schemas.openxmlformats.org/officeDocument/2006/relationships/hyperlink" Target="https://gabors-data-analysis.com/" TargetMode="External"/><Relationship Id="rId14" Type="http://schemas.openxmlformats.org/officeDocument/2006/relationships/hyperlink" Target="https://datacarpentry.org/stata-economics/" TargetMode="External"/><Relationship Id="rId15" Type="http://schemas.openxmlformats.org/officeDocument/2006/relationships/hyperlink" Target="https://gabors-data-analysis.com/datasets/hotels-vienna/" TargetMode="External"/><Relationship Id="rId16" Type="http://schemas.openxmlformats.org/officeDocument/2006/relationships/hyperlink" Target="https://gabors-data-analysis.com/datasets/hotels-europe/" TargetMode="External"/><Relationship Id="rId17" Type="http://schemas.openxmlformats.org/officeDocument/2006/relationships/hyperlink" Target="https://ceu.studyguide.timeedit.net/modules/ECBS5241?mainTab=module&amp;type=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Stata (ECBS5241)</dc:title>
  <dc:subject>Course syllabus, academic year 2026–2027</dc:subject>
  <dc:creator>Ulrich Wohak</dc:creator>
  <cp:keywords>CEU, Stata, syllabus, economics</cp:keywords>
  <dc:description>generated by python-docx</dc:description>
  <cp:lastModifiedBy/>
  <cp:revision>1</cp:revision>
  <dcterms:created xsi:type="dcterms:W3CDTF">2013-12-23T23:15:00Z</dcterms:created>
  <dcterms:modified xsi:type="dcterms:W3CDTF">2013-12-23T23:15:00Z</dcterms:modified>
  <cp:category/>
</cp:coreProperties>
</file>