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1.3.1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1.3.1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and onboarding completion.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exercise catalog.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 and History consume these database/service methods rather than direct widget SQL.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and displays its actual scheduled time.</w:t>
      </w:r>
    </w:p>
    <w:p>
      <w:pPr>
        <w:pStyle w:val="ListBullet"/>
      </w:pPr>
      <w:r>
        <w:t>History v1 is the first visual consumer of the Fact Engine, grouping facts by local day and summarizing seven-day periods.</w:t>
      </w:r>
    </w:p>
    <w:p>
      <w:pPr>
        <w:pStyle w:val="ListBullet"/>
      </w:pPr>
      <w:r>
        <w:t>Insight Engine is planned and will derive observations, trends, statistics, and internal pattern detection from Facts and History without changing the underlying Facts.</w:t>
      </w:r>
    </w:p>
    <w:p>
      <w:pPr>
        <w:pStyle w:val="Heading1"/>
      </w:pPr>
      <w:r>
        <w:t>Validation</w:t>
      </w:r>
    </w:p>
    <w:p>
      <w:r>
        <w:t>Automated coverage includes migrations, terminal protection, preserved history, deferral accumulation, response-delay and duration derivation, date-range/day queries, and aggregates. Current repository gate: dart format, flutter analyze, and flutter test (71 passing tests at this documentation baseline).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08 — Data Layer v1.3.1</dc:title>
  <dc:subject>Canonical Drift schema and Fact Engine contract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1.3.1</cp:version>
</cp:coreProperties>
</file>