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— Application Services and API Contracts</w:t>
      </w:r>
    </w:p>
    <w:p>
      <w:pPr>
        <w:jc w:val="center"/>
      </w:pPr>
      <w:r>
        <w:t>Scheduler, lifecycle, providers, and presentation boundaries • Version 1.4.0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1.4.0</w:t>
            </w:r>
          </w:p>
        </w:tc>
      </w:tr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Chris Robinson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Recess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2026-07-20</w:t>
            </w:r>
          </w:p>
        </w:tc>
      </w:tr>
    </w:tbl>
    <w:p/>
    <w:p>
      <w:pPr>
        <w:pStyle w:val="Heading1"/>
      </w:pPr>
      <w:r>
        <w:t>Application boundary</w:t>
      </w:r>
    </w:p>
    <w:p>
      <w:r>
        <w:t>Recess is an offline-first Flutter application. Riverpod providers expose typed queries and RecessActions; RecessSessionService coordinates lifecycle behavior; RecessDatabase and NotificationService own infrastructure. API means an in-process Dart contract, not a remote endpoint.</w:t>
      </w:r>
    </w:p>
    <w:p>
      <w:pPr>
        <w:pStyle w:val="Heading1"/>
      </w:pPr>
      <w:r>
        <w:t>Scheduler behavior</w:t>
      </w:r>
    </w:p>
    <w:p>
      <w:pPr>
        <w:pStyle w:val="ListBullet"/>
      </w:pPr>
      <w:r>
        <w:t>Cadence is anchored to work-start time: each Bell is startMinutes plus an integer cadence interval and remains before work end.</w:t>
      </w:r>
    </w:p>
    <w:p>
      <w:pPr>
        <w:pStyle w:val="ListBullet"/>
      </w:pPr>
      <w:r>
        <w:t>Completion time never shifts cadence. Completing at 10:06 after a 10:00 Bell still leaves 11:00 next for a 09:00/60-minute schedule.</w:t>
      </w:r>
    </w:p>
    <w:p>
      <w:pPr>
        <w:pStyle w:val="ListBullet"/>
      </w:pPr>
      <w:r>
        <w:t>The Bell Engine plans stable, one-shot local notifications for a rolling seven-day window, capped to a platform-safe limit.</w:t>
      </w:r>
    </w:p>
    <w:p>
      <w:pPr>
        <w:pStyle w:val="ListBullet"/>
      </w:pPr>
      <w:r>
        <w:t>Starting one Recess does not cancel later cadence notifications; future Bells remain pending.</w:t>
      </w:r>
    </w:p>
    <w:p>
      <w:pPr>
        <w:pStyle w:val="ListBullet"/>
      </w:pPr>
      <w:r>
        <w:t>Completion creates a fresh scheduled session and upserts stable notification IDs so future payloads reference that new session.</w:t>
      </w:r>
    </w:p>
    <w:p>
      <w:pPr>
        <w:pStyle w:val="ListBullet"/>
      </w:pPr>
      <w:r>
        <w:t>Restore and schedule edits retain expected IDs, cancel only obsolete cadence IDs, serialize rebuilds, and verify pending IDs.</w:t>
      </w:r>
    </w:p>
    <w:p>
      <w:pPr>
        <w:pStyle w:val="ListBullet"/>
      </w:pPr>
      <w:r>
        <w:t>Deferred reminders use a separate one-shot notification ID and payload; they do not replace or shift normal cadence.</w:t>
      </w:r>
    </w:p>
    <w:p>
      <w:pPr>
        <w:pStyle w:val="ListBullet"/>
      </w:pPr>
      <w:r>
        <w:t>The manual Bells action remains an immediate test function and is not the primary cadence mechanism.</w:t>
      </w:r>
    </w:p>
    <w:p>
      <w:pPr>
        <w:pStyle w:val="Heading1"/>
      </w:pPr>
      <w:r>
        <w:t>Notification identity and diagnostics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Notification</w:t>
            </w:r>
          </w:p>
        </w:tc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Behavior</w:t>
            </w:r>
          </w:p>
        </w:tc>
      </w:tr>
      <w:tr>
        <w:tc>
          <w:tcPr>
            <w:tcW w:type="dxa" w:w="3312"/>
          </w:tcPr>
          <w:p>
            <w:r>
              <w:t>Immediate Bell</w:t>
            </w:r>
          </w:p>
        </w:tc>
        <w:tc>
          <w:tcPr>
            <w:tcW w:type="dxa" w:w="3312"/>
          </w:tcPr>
          <w:p>
            <w:r>
              <w:t>ID 1</w:t>
            </w:r>
          </w:p>
        </w:tc>
        <w:tc>
          <w:tcPr>
            <w:tcW w:type="dxa" w:w="3312"/>
          </w:tcPr>
          <w:p>
            <w:r>
              <w:t>Manual test notification with immediate payload.</w:t>
            </w:r>
          </w:p>
        </w:tc>
      </w:tr>
      <w:tr>
        <w:tc>
          <w:tcPr>
            <w:tcW w:type="dxa" w:w="3312"/>
          </w:tcPr>
          <w:p>
            <w:r>
              <w:t>Legacy cadence</w:t>
            </w:r>
          </w:p>
        </w:tc>
        <w:tc>
          <w:tcPr>
            <w:tcW w:type="dxa" w:w="3312"/>
          </w:tcPr>
          <w:p>
            <w:r>
              <w:t>ID 100</w:t>
            </w:r>
          </w:p>
        </w:tc>
        <w:tc>
          <w:tcPr>
            <w:tcW w:type="dxa" w:w="3312"/>
          </w:tcPr>
          <w:p>
            <w:r>
              <w:t>Cleaned during reconciliation; no longer the cadence strategy.</w:t>
            </w:r>
          </w:p>
        </w:tc>
      </w:tr>
      <w:tr>
        <w:tc>
          <w:tcPr>
            <w:tcW w:type="dxa" w:w="3312"/>
          </w:tcPr>
          <w:p>
            <w:r>
              <w:t>Deferred</w:t>
            </w:r>
          </w:p>
        </w:tc>
        <w:tc>
          <w:tcPr>
            <w:tcW w:type="dxa" w:w="3312"/>
          </w:tcPr>
          <w:p>
            <w:r>
              <w:t>ID 200</w:t>
            </w:r>
          </w:p>
        </w:tc>
        <w:tc>
          <w:tcPr>
            <w:tcW w:type="dxa" w:w="3312"/>
          </w:tcPr>
          <w:p>
            <w:r>
              <w:t>Separate one-shot reminder.</w:t>
            </w:r>
          </w:p>
        </w:tc>
      </w:tr>
      <w:tr>
        <w:tc>
          <w:tcPr>
            <w:tcW w:type="dxa" w:w="3312"/>
          </w:tcPr>
          <w:p>
            <w:r>
              <w:t>Cadence</w:t>
            </w:r>
          </w:p>
        </w:tc>
        <w:tc>
          <w:tcPr>
            <w:tcW w:type="dxa" w:w="3312"/>
          </w:tcPr>
          <w:p>
            <w:r>
              <w:t>Stable ID derived from scheduled epoch minute</w:t>
            </w:r>
          </w:p>
        </w:tc>
        <w:tc>
          <w:tcPr>
            <w:tcW w:type="dxa" w:w="3312"/>
          </w:tcPr>
          <w:p>
            <w:r>
              <w:t>One ID per Bell time; scheduling the same ID updates its payload without duplication.</w:t>
            </w:r>
          </w:p>
        </w:tc>
      </w:tr>
    </w:tbl>
    <w:p>
      <w:r>
        <w:t>Debug builds can inspect pending cadence Bell IDs and decoded times. Rebuild logs show expected times, successfully scheduled times, and pending IDs. These diagnostics are not exposed in release UI.</w:t>
      </w:r>
    </w:p>
    <w:p>
      <w:pPr>
        <w:pStyle w:val="Heading1"/>
      </w:pPr>
      <w:r>
        <w:t>Platform constraints</w:t>
      </w:r>
    </w:p>
    <w:p>
      <w:pPr>
        <w:pStyle w:val="ListBullet"/>
      </w:pPr>
      <w:r>
        <w:t>Android uses inexactAllowWhileIdle. Delivery may be delayed by Doze, battery optimization, OEM policy, or other platform batching.</w:t>
      </w:r>
    </w:p>
    <w:p>
      <w:pPr>
        <w:pStyle w:val="ListBullet"/>
      </w:pPr>
      <w:r>
        <w:t>Local notification permission is required for visible delivery; denied or revoked permission does not invalidate persisted session facts.</w:t>
      </w:r>
    </w:p>
    <w:p>
      <w:pPr>
        <w:pStyle w:val="ListBullet"/>
      </w:pPr>
      <w:r>
        <w:t>Timezone initialization uses flutter_timezone 5.1.0 and timezone data; local scheduling remains device-timezone dependent.</w:t>
      </w:r>
    </w:p>
    <w:p>
      <w:pPr>
        <w:pStyle w:val="ListBullet"/>
      </w:pPr>
      <w:r>
        <w:t>iOS and Android retain final control over pending-notification limits and delivery timing.</w:t>
      </w:r>
    </w:p>
    <w:p>
      <w:pPr>
        <w:pStyle w:val="Heading1"/>
      </w:pPr>
      <w:r>
        <w:t>Provider and refresh contract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Provider / service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scheduleProvider</w:t>
            </w:r>
          </w:p>
        </w:tc>
        <w:tc>
          <w:tcPr>
            <w:tcW w:type="dxa" w:w="4968"/>
          </w:tcPr>
          <w:p>
            <w:r>
              <w:t>Persisted workday and cadence.</w:t>
            </w:r>
          </w:p>
        </w:tc>
      </w:tr>
      <w:tr>
        <w:tc>
          <w:tcPr>
            <w:tcW w:type="dxa" w:w="4968"/>
          </w:tcPr>
          <w:p>
            <w:r>
              <w:t>openSessionProvider</w:t>
            </w:r>
          </w:p>
        </w:tc>
        <w:tc>
          <w:tcPr>
            <w:tcW w:type="dxa" w:w="4968"/>
          </w:tcPr>
          <w:p>
            <w:r>
              <w:t>Current scheduled, deferred, or active Fact Engine session.</w:t>
            </w:r>
          </w:p>
        </w:tc>
      </w:tr>
      <w:tr>
        <w:tc>
          <w:tcPr>
            <w:tcW w:type="dxa" w:w="4968"/>
          </w:tcPr>
          <w:p>
            <w:r>
              <w:t>homeRecessStatusProvider</w:t>
            </w:r>
          </w:p>
        </w:tc>
        <w:tc>
          <w:tcPr>
            <w:tcW w:type="dxa" w:w="4968"/>
          </w:tcPr>
          <w:p>
            <w:r>
              <w:t>Home display state derived from schedule presence and the persisted open session.</w:t>
            </w:r>
          </w:p>
        </w:tc>
      </w:tr>
      <w:tr>
        <w:tc>
          <w:tcPr>
            <w:tcW w:type="dxa" w:w="4968"/>
          </w:tcPr>
          <w:p>
            <w:r>
              <w:t>historyProvider</w:t>
            </w:r>
          </w:p>
        </w:tc>
        <w:tc>
          <w:tcPr>
            <w:tcW w:type="dxa" w:w="4968"/>
          </w:tcPr>
          <w:p>
            <w:r>
              <w:t>Seven-day Fact Engine view model and local exercise names.</w:t>
            </w:r>
          </w:p>
        </w:tc>
      </w:tr>
      <w:tr>
        <w:tc>
          <w:tcPr>
            <w:tcW w:type="dxa" w:w="4968"/>
          </w:tcPr>
          <w:p>
            <w:r>
              <w:t>recessActionsProvider</w:t>
            </w:r>
          </w:p>
        </w:tc>
        <w:tc>
          <w:tcPr>
            <w:tcW w:type="dxa" w:w="4968"/>
          </w:tcPr>
          <w:p>
            <w:r>
              <w:t>Lifecycle commands plus provider invalidation after restore, schedule save, start, defer, rain check, and completion.</w:t>
            </w:r>
          </w:p>
        </w:tc>
      </w:tr>
      <w:tr>
        <w:tc>
          <w:tcPr>
            <w:tcW w:type="dxa" w:w="4968"/>
          </w:tcPr>
          <w:p>
            <w:r>
              <w:t>insightServiceProvider / insightProvider</w:t>
            </w:r>
          </w:p>
        </w:tc>
        <w:tc>
          <w:tcPr>
            <w:tcW w:type="dxa" w:w="4968"/>
          </w:tcPr>
          <w:p>
            <w:r>
              <w:t>Loads Fact Engine sessions and the local exercise catalog, then exposes a stateless derived InsightSummary.</w:t>
            </w:r>
          </w:p>
        </w:tc>
      </w:tr>
    </w:tbl>
    <w:p>
      <w:pPr>
        <w:pStyle w:val="Heading1"/>
      </w:pPr>
      <w:r>
        <w:t>Screen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Screen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Workday, next actual scheduled Recess or active/no-more state, manual Bell test, Start/Resume, Today progress, compact Insights card, and History entry.</w:t>
            </w:r>
          </w:p>
        </w:tc>
      </w:tr>
      <w:tr>
        <w:tc>
          <w:tcPr>
            <w:tcW w:type="dxa" w:w="4968"/>
          </w:tcPr>
          <w:p>
            <w:r>
              <w:t>Schedule editor</w:t>
            </w:r>
          </w:p>
        </w:tc>
        <w:tc>
          <w:tcPr>
            <w:tcW w:type="dxa" w:w="4968"/>
          </w:tcPr>
          <w:p>
            <w:r>
              <w:t>Onboarding supplies defaults and permission rationale; edit context loads saved start, end, and cadence and saves without creating a settings architecture.</w:t>
            </w:r>
          </w:p>
        </w:tc>
      </w:tr>
      <w:tr>
        <w:tc>
          <w:tcPr>
            <w:tcW w:type="dxa" w:w="4968"/>
          </w:tcPr>
          <w:p>
            <w:r>
              <w:t>Bell response</w:t>
            </w:r>
          </w:p>
        </w:tc>
        <w:tc>
          <w:tcPr>
            <w:tcW w:type="dxa" w:w="4968"/>
          </w:tcPr>
          <w:p>
            <w:r>
              <w:t>Acknowledges the existing payload session and offers Start, deferral when allowed, or Rain check.</w:t>
            </w:r>
          </w:p>
        </w:tc>
      </w:tr>
      <w:tr>
        <w:tc>
          <w:tcPr>
            <w:tcW w:type="dxa" w:w="4968"/>
          </w:tcPr>
          <w:p>
            <w:r>
              <w:t>Active Recess</w:t>
            </w:r>
          </w:p>
        </w:tc>
        <w:tc>
          <w:tcPr>
            <w:tcW w:type="dxa" w:w="4968"/>
          </w:tcPr>
          <w:p>
            <w:r>
              <w:t>Shows the persisted exercise and completes manually.</w:t>
            </w:r>
          </w:p>
        </w:tc>
      </w:tr>
      <w:tr>
        <w:tc>
          <w:tcPr>
            <w:tcW w:type="dxa" w:w="4968"/>
          </w:tcPr>
          <w:p>
            <w:r>
              <w:t>Completion</w:t>
            </w:r>
          </w:p>
        </w:tc>
        <w:tc>
          <w:tcPr>
            <w:tcW w:type="dxa" w:w="4968"/>
          </w:tcPr>
          <w:p>
            <w:r>
              <w:t>Confirms completion and returns to Home; scheduling remains cadence-anchored.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First visual Fact Engine consumer: seven-day summary and expandable local-day session detail.</w:t>
            </w:r>
          </w:p>
        </w:tc>
      </w:tr>
    </w:tbl>
    <w:p>
      <w:pPr>
        <w:pStyle w:val="Heading1"/>
      </w:pPr>
      <w:r>
        <w:t>Offline and cloud boundary</w:t>
      </w:r>
    </w:p>
    <w:p>
      <w:r>
        <w:t>No account, HTTP API, cloud store, analytics, sync, or network dependency is required. Future cloud capability, if approved, must be additive: local facts, Bells, Recess lifecycle, and History remain functional without it.</w:t>
      </w:r>
    </w:p>
    <w:p>
      <w:pPr>
        <w:pStyle w:val="Heading1"/>
      </w:pPr>
      <w:r>
        <w:t>Insight Engine service contract</w:t>
      </w:r>
    </w:p>
    <w:p>
      <w:pPr>
        <w:pStyle w:val="ListBullet"/>
      </w:pPr>
      <w:r>
        <w:t>InsightService reads sessions only through the approved RecessDatabase date-range boundary and loads local exercise metadata through the existing catalog.</w:t>
      </w:r>
    </w:p>
    <w:p>
      <w:pPr>
        <w:pStyle w:val="ListBullet"/>
      </w:pPr>
      <w:r>
        <w:t>InsightEngine is stateless, deterministic, and independently testable. It returns plain InsightSummary and InsightObservation domain models.</w:t>
      </w:r>
    </w:p>
    <w:p>
      <w:pPr>
        <w:pStyle w:val="ListBullet"/>
      </w:pPr>
      <w:r>
        <w:t>No insight is persisted. No cloud, network, AI, machine learning, external API, analytics service, randomization, or new package participates.</w:t>
      </w:r>
    </w:p>
    <w:p>
      <w:pPr>
        <w:pStyle w:val="ListBullet"/>
      </w:pPr>
      <w:r>
        <w:t>Observations are ranked by measured strength with a stable observation-type tiebreaker and capped at three.</w:t>
      </w:r>
    </w:p>
    <w:p>
      <w:pPr>
        <w:pStyle w:val="Heading1"/>
      </w:pPr>
      <w:r>
        <w:t>Observation sufficiency thresholds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Observation</w:t>
            </w:r>
          </w:p>
        </w:tc>
        <w:tc>
          <w:tcPr>
            <w:tcW w:type="dxa" w:w="3312"/>
          </w:tcPr>
          <w:p>
            <w:r>
              <w:t>Minimum evidence</w:t>
            </w:r>
          </w:p>
        </w:tc>
        <w:tc>
          <w:tcPr>
            <w:tcW w:type="dxa" w:w="3312"/>
          </w:tcPr>
          <w:p>
            <w:r>
              <w:t>Rule</w:t>
            </w:r>
          </w:p>
        </w:tc>
      </w:tr>
      <w:tr>
        <w:tc>
          <w:tcPr>
            <w:tcW w:type="dxa" w:w="3312"/>
          </w:tcPr>
          <w:p>
            <w:r>
              <w:t>Seven-day completion</w:t>
            </w:r>
          </w:p>
        </w:tc>
        <w:tc>
          <w:tcPr>
            <w:tcW w:type="dxa" w:w="3312"/>
          </w:tcPr>
          <w:p>
            <w:r>
              <w:t>4 persisted occurrences</w:t>
            </w:r>
          </w:p>
        </w:tc>
        <w:tc>
          <w:tcPr>
            <w:tcW w:type="dxa" w:w="3312"/>
          </w:tcPr>
          <w:p>
            <w:r>
              <w:t>Reports completed out of persisted occurrences.</w:t>
            </w:r>
          </w:p>
        </w:tc>
      </w:tr>
      <w:tr>
        <w:tc>
          <w:tcPr>
            <w:tcW w:type="dxa" w:w="3312"/>
          </w:tcPr>
          <w:p>
            <w:r>
              <w:t>Afternoon deferrals</w:t>
            </w:r>
          </w:p>
        </w:tc>
        <w:tc>
          <w:tcPr>
            <w:tcW w:type="dxa" w:w="3312"/>
          </w:tcPr>
          <w:p>
            <w:r>
              <w:t>4 deferred sessions</w:t>
            </w:r>
          </w:p>
        </w:tc>
        <w:tc>
          <w:tcPr>
            <w:tcW w:type="dxa" w:w="3312"/>
          </w:tcPr>
          <w:p>
            <w:r>
              <w:t>At least 65% of latest recorded deferrals occur at or after 2 PM.</w:t>
            </w:r>
          </w:p>
        </w:tc>
      </w:tr>
      <w:tr>
        <w:tc>
          <w:tcPr>
            <w:tcW w:type="dxa" w:w="3312"/>
          </w:tcPr>
          <w:p>
            <w:r>
              <w:t>Improving response time</w:t>
            </w:r>
          </w:p>
        </w:tc>
        <w:tc>
          <w:tcPr>
            <w:tcW w:type="dxa" w:w="3312"/>
          </w:tcPr>
          <w:p>
            <w:r>
              <w:t>3 valid response samples in each comparison period</w:t>
            </w:r>
          </w:p>
        </w:tc>
        <w:tc>
          <w:tcPr>
            <w:tcW w:type="dxa" w:w="3312"/>
          </w:tcPr>
          <w:p>
            <w:r>
              <w:t>At least 20% and at least 2 minutes absolute improvement.</w:t>
            </w:r>
          </w:p>
        </w:tc>
      </w:tr>
      <w:tr>
        <w:tc>
          <w:tcPr>
            <w:tcW w:type="dxa" w:w="3312"/>
          </w:tcPr>
          <w:p>
            <w:r>
              <w:t>Morning completion</w:t>
            </w:r>
          </w:p>
        </w:tc>
        <w:tc>
          <w:tcPr>
            <w:tcW w:type="dxa" w:w="3312"/>
          </w:tcPr>
          <w:p>
            <w:r>
              <w:t>4 morning and 4 afternoon occurrences</w:t>
            </w:r>
          </w:p>
        </w:tc>
        <w:tc>
          <w:tcPr>
            <w:tcW w:type="dxa" w:w="3312"/>
          </w:tcPr>
          <w:p>
            <w:r>
              <w:t>Morning completion rate is at least 20 percentage points higher.</w:t>
            </w:r>
          </w:p>
        </w:tc>
      </w:tr>
    </w:tbl>
    <w:p>
      <w:pPr>
        <w:pStyle w:val="Heading1"/>
      </w:pPr>
      <w:r>
        <w:t>Home presentation and refresh</w:t>
      </w:r>
    </w:p>
    <w:p>
      <w:pPr>
        <w:pStyle w:val="ListBullet"/>
      </w:pPr>
      <w:r>
        <w:t>The compact Insights card shows Today progress, the rolling seven-day completion summary, supported averages, and up to three observations.</w:t>
      </w:r>
    </w:p>
    <w:p>
      <w:pPr>
        <w:pStyle w:val="ListBullet"/>
      </w:pPr>
      <w:r>
        <w:t>No-data and limited-data states avoid unsupported zeroes. The UI states: ?Missed Recesses aren't tracked yet.?</w:t>
      </w:r>
    </w:p>
    <w:p>
      <w:pPr>
        <w:pStyle w:val="ListBullet"/>
      </w:pPr>
      <w:r>
        <w:t>The card uses no charts, scores, badges, streaks, or judgmental language.</w:t>
      </w:r>
    </w:p>
    <w:p>
      <w:pPr>
        <w:pStyle w:val="ListBullet"/>
      </w:pPr>
      <w:r>
        <w:t>Insight data is invalidated after restore, schedule save, manual Bell, Start, defer, Rain check, completion, and pull-to-refresh.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Recess 09 — Application Services and API Contracts v1.3.1</dc:title>
  <dc:subject>Canonical scheduler, application services, providers, and screen contracts</dc:subject>
  <dc:creator>Chris Robinson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1.3.1</cp:version>
</cp:coreProperties>
</file>