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1.4.1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1.4.1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Recess_08-DataLayer_v1.4.1.docx</w:t>
            </w:r>
          </w:p>
        </w:tc>
        <w:tc>
          <w:tcPr>
            <w:tcW w:type="dxa" w:w="2484"/>
          </w:tcPr>
          <w:p>
            <w:r>
              <w:t>1.4.1</w:t>
            </w:r>
          </w:p>
        </w:tc>
        <w:tc>
          <w:tcPr>
            <w:tcW w:type="dxa" w:w="2484"/>
          </w:tcPr>
          <w:p>
            <w:r>
              <w:t>Drift schema, Fact Engine, and local query boundary</w:t>
            </w:r>
          </w:p>
        </w:tc>
      </w:tr>
      <w:tr>
        <w:tc>
          <w:tcPr>
            <w:tcW w:type="dxa" w:w="2484"/>
          </w:tcPr>
          <w:p>
            <w:r>
              <w:t>09</w:t>
            </w:r>
          </w:p>
        </w:tc>
        <w:tc>
          <w:tcPr>
            <w:tcW w:type="dxa" w:w="2484"/>
          </w:tcPr>
          <w:p>
            <w:r>
              <w:t>Recess_09-ApplicationServicesAndAPIContracts_v1.4.1.docx</w:t>
            </w:r>
          </w:p>
        </w:tc>
        <w:tc>
          <w:tcPr>
            <w:tcW w:type="dxa" w:w="2484"/>
          </w:tcPr>
          <w:p>
            <w:r>
              <w:t>1.4.1</w:t>
            </w:r>
          </w:p>
        </w:tc>
        <w:tc>
          <w:tcPr>
            <w:tcW w:type="dxa" w:w="2484"/>
          </w:tcPr>
          <w:p>
            <w:r>
              <w:t>Scheduler, services, providers, and screen contracts</w:t>
            </w:r>
          </w:p>
        </w:tc>
      </w:tr>
      <w:tr>
        <w:tc>
          <w:tcPr>
            <w:tcW w:type="dxa" w:w="2484"/>
          </w:tcPr>
          <w:p>
            <w:r>
              <w:t>11</w:t>
            </w:r>
          </w:p>
        </w:tc>
        <w:tc>
          <w:tcPr>
            <w:tcW w:type="dxa" w:w="2484"/>
          </w:tcPr>
          <w:p>
            <w:r>
              <w:t>Recess_11-ImplementationBlueprint_v1.4.1.docx</w:t>
            </w:r>
          </w:p>
        </w:tc>
        <w:tc>
          <w:tcPr>
            <w:tcW w:type="dxa" w:w="2484"/>
          </w:tcPr>
          <w:p>
            <w:r>
              <w:t>1.4.1</w:t>
            </w:r>
          </w:p>
        </w:tc>
        <w:tc>
          <w:tcPr>
            <w:tcW w:type="dxa" w:w="2484"/>
          </w:tcPr>
          <w:p>
            <w:r>
              <w:t>Product architecture, roadmap, and information architecture</w:t>
            </w:r>
          </w:p>
        </w:tc>
      </w:tr>
      <w:tr>
        <w:tc>
          <w:tcPr>
            <w:tcW w:type="dxa" w:w="2484"/>
          </w:tcPr>
          <w:p>
            <w:r>
              <w:t>12</w:t>
            </w:r>
          </w:p>
        </w:tc>
        <w:tc>
          <w:tcPr>
            <w:tcW w:type="dxa" w:w="2484"/>
          </w:tcPr>
          <w:p>
            <w:r>
              <w:t>Recess_12-VersionRecord_v1.4.1.docx</w:t>
            </w:r>
          </w:p>
        </w:tc>
        <w:tc>
          <w:tcPr>
            <w:tcW w:type="dxa" w:w="2484"/>
          </w:tcPr>
          <w:p>
            <w:r>
              <w:t>1.4.1</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is implemented as the first interpretive capability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refined Home/History presentation, and later user-controlled personal context.</w:t>
            </w:r>
          </w:p>
        </w:tc>
        <w:tc>
          <w:tcPr>
            <w:tcW w:type="dxa" w:w="2484"/>
          </w:tcPr>
          <w:p>
            <w:r>
              <w:t>In progress: Insight Engine v1 and UX refinement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Canonical</w:t>
            </w:r>
          </w:p>
        </w:tc>
        <w:tc>
          <w:tcPr>
            <w:tcW w:type="dxa" w:w="3312"/>
          </w:tcPr>
          <w:p>
            <w:r>
              <w:t>Records shipped Home simplification, History insight relocation, physical-device layout validation, and 82 passing tests.</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v1.3.1</dc:title>
  <dc:subject>Canonical documentation set, roadmap, versioning, and governance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