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1.6.0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1.6.0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  <w:tr>
        <w:tc>
          <w:tcPr>
            <w:tcW w:type="dxa" w:w="4968"/>
          </w:tcPr>
          <w:p>
            <w:r>
              <w:t>insightServiceProvider / insightProvider</w:t>
            </w:r>
          </w:p>
        </w:tc>
        <w:tc>
          <w:tcPr>
            <w:tcW w:type="dxa" w:w="4968"/>
          </w:tcPr>
          <w:p>
            <w:r>
              <w:t>Loads Fact Engine sessions and the local exercise catalog, then exposes a stateless derived InsightSummary.</w:t>
            </w:r>
          </w:p>
        </w:tc>
      </w:tr>
      <w:tr>
        <w:tc>
          <w:tcPr>
            <w:tcW w:type="dxa" w:w="4968"/>
          </w:tcPr>
          <w:p>
            <w:r>
              <w:t>preferencesProvider / preferencesActionsProvider</w:t>
            </w:r>
          </w:p>
        </w:tc>
        <w:tc>
          <w:tcPr>
            <w:tcW w:type="dxa" w:w="4968"/>
          </w:tcPr>
          <w:p>
            <w:r>
              <w:t>Loads and saves typed local RecessPreferences through the existing settings table and invalidates only preference presentation.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Recess or active/no-more state, manual Bell test, Start/Resume, Today progress (Started, Completed, Deferred), one highest-ranked observation, and View History navigation.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plus its deterministic duration-aware prescription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Shows centered curated encouragement and one contextual supporting line, then returns to Home after the unchanged two-second display.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Primary detail surface for Insight Engine Today and seven-day metrics, average response, average duration, movement duration, observations, period summary, and expandable session timeline.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Grouped offline controls for workday access, duration, difficulty, Bell sound, quiet hours, notifications, and About.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p>
      <w:pPr>
        <w:pStyle w:val="Heading1"/>
      </w:pPr>
      <w:r>
        <w:t>Insight Engine service contract</w:t>
      </w:r>
    </w:p>
    <w:p>
      <w:pPr>
        <w:pStyle w:val="ListBullet"/>
      </w:pPr>
      <w:r>
        <w:t>InsightService reads sessions only through the approved RecessDatabase date-range boundary and loads local exercise metadata through the existing catalog.</w:t>
      </w:r>
    </w:p>
    <w:p>
      <w:pPr>
        <w:pStyle w:val="ListBullet"/>
      </w:pPr>
      <w:r>
        <w:t>InsightEngine is stateless, deterministic, and independently testable. It returns plain InsightSummary and InsightObservation domain models.</w:t>
      </w:r>
    </w:p>
    <w:p>
      <w:pPr>
        <w:pStyle w:val="ListBullet"/>
      </w:pPr>
      <w:r>
        <w:t>No insight is persisted. No cloud, network, AI, machine learning, external API, analytics service, randomization, or new package participates.</w:t>
      </w:r>
    </w:p>
    <w:p>
      <w:pPr>
        <w:pStyle w:val="ListBullet"/>
      </w:pPr>
      <w:r>
        <w:t>Observations are ranked by measured strength with a stable observation-type tiebreaker and capped at three.</w:t>
      </w:r>
    </w:p>
    <w:p>
      <w:pPr>
        <w:pStyle w:val="Heading1"/>
      </w:pPr>
      <w:r>
        <w:t>Observation sufficiency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Observation</w:t>
            </w:r>
          </w:p>
        </w:tc>
        <w:tc>
          <w:tcPr>
            <w:tcW w:type="dxa" w:w="3312"/>
          </w:tcPr>
          <w:p>
            <w:r>
              <w:t>Minimum evidence</w:t>
            </w:r>
          </w:p>
        </w:tc>
        <w:tc>
          <w:tcPr>
            <w:tcW w:type="dxa" w:w="3312"/>
          </w:tcPr>
          <w:p>
            <w:r>
              <w:t>Rule</w:t>
            </w:r>
          </w:p>
        </w:tc>
      </w:tr>
      <w:tr>
        <w:tc>
          <w:tcPr>
            <w:tcW w:type="dxa" w:w="3312"/>
          </w:tcPr>
          <w:p>
            <w:r>
              <w:t>Seven-day completion</w:t>
            </w:r>
          </w:p>
        </w:tc>
        <w:tc>
          <w:tcPr>
            <w:tcW w:type="dxa" w:w="3312"/>
          </w:tcPr>
          <w:p>
            <w:r>
              <w:t>4 persisted occurrences</w:t>
            </w:r>
          </w:p>
        </w:tc>
        <w:tc>
          <w:tcPr>
            <w:tcW w:type="dxa" w:w="3312"/>
          </w:tcPr>
          <w:p>
            <w:r>
              <w:t>Reports completed out of persisted occurrences.</w:t>
            </w:r>
          </w:p>
        </w:tc>
      </w:tr>
      <w:tr>
        <w:tc>
          <w:tcPr>
            <w:tcW w:type="dxa" w:w="3312"/>
          </w:tcPr>
          <w:p>
            <w:r>
              <w:t>Afternoon deferrals</w:t>
            </w:r>
          </w:p>
        </w:tc>
        <w:tc>
          <w:tcPr>
            <w:tcW w:type="dxa" w:w="3312"/>
          </w:tcPr>
          <w:p>
            <w:r>
              <w:t>4 deferred sessions</w:t>
            </w:r>
          </w:p>
        </w:tc>
        <w:tc>
          <w:tcPr>
            <w:tcW w:type="dxa" w:w="3312"/>
          </w:tcPr>
          <w:p>
            <w:r>
              <w:t>At least 65% of latest recorded deferrals occur at or after 2 PM.</w:t>
            </w:r>
          </w:p>
        </w:tc>
      </w:tr>
      <w:tr>
        <w:tc>
          <w:tcPr>
            <w:tcW w:type="dxa" w:w="3312"/>
          </w:tcPr>
          <w:p>
            <w:r>
              <w:t>Improving response time</w:t>
            </w:r>
          </w:p>
        </w:tc>
        <w:tc>
          <w:tcPr>
            <w:tcW w:type="dxa" w:w="3312"/>
          </w:tcPr>
          <w:p>
            <w:r>
              <w:t>3 valid response samples in each comparison period</w:t>
            </w:r>
          </w:p>
        </w:tc>
        <w:tc>
          <w:tcPr>
            <w:tcW w:type="dxa" w:w="3312"/>
          </w:tcPr>
          <w:p>
            <w:r>
              <w:t>At least 20% and at least 2 minutes absolute improvement.</w:t>
            </w:r>
          </w:p>
        </w:tc>
      </w:tr>
      <w:tr>
        <w:tc>
          <w:tcPr>
            <w:tcW w:type="dxa" w:w="3312"/>
          </w:tcPr>
          <w:p>
            <w:r>
              <w:t>Morning completion</w:t>
            </w:r>
          </w:p>
        </w:tc>
        <w:tc>
          <w:tcPr>
            <w:tcW w:type="dxa" w:w="3312"/>
          </w:tcPr>
          <w:p>
            <w:r>
              <w:t>4 morning and 4 afternoon occurrences</w:t>
            </w:r>
          </w:p>
        </w:tc>
        <w:tc>
          <w:tcPr>
            <w:tcW w:type="dxa" w:w="3312"/>
          </w:tcPr>
          <w:p>
            <w:r>
              <w:t>Morning completion rate is at least 20 percentage points higher.</w:t>
            </w:r>
          </w:p>
        </w:tc>
      </w:tr>
    </w:tbl>
    <w:p>
      <w:pPr>
        <w:pStyle w:val="Heading1"/>
      </w:pPr>
      <w:r>
        <w:t>Home presentation and refresh</w:t>
      </w:r>
    </w:p>
    <w:p>
      <w:pPr>
        <w:pStyle w:val="ListBullet"/>
      </w:pPr>
      <w:r>
        <w:t>Home displays only the highest-ranked supported observation in a compact, two-line Insights presentation. Detailed seven-day metrics, averages, movement duration, and observation lists are not displayed on Home.</w:t>
      </w:r>
    </w:p>
    <w:p>
      <w:pPr>
        <w:pStyle w:val="ListBullet"/>
      </w:pPr>
      <w:r>
        <w:t>No-data and limited-data states avoid unsupported zeroes. The UI states: "Missed Recesses aren't tracked yet."</w:t>
      </w:r>
    </w:p>
    <w:p>
      <w:pPr>
        <w:pStyle w:val="ListBullet"/>
      </w:pPr>
      <w:r>
        <w:t>The card uses no charts, scores, badges, streaks, or judgmental language.</w:t>
      </w:r>
    </w:p>
    <w:p>
      <w:pPr>
        <w:pStyle w:val="ListBullet"/>
      </w:pPr>
      <w:r>
        <w:t>Insight data is invalidated after restore, schedule save, manual Bell, Start, defer, Rain check, completion, and pull-to-refresh.</w:t>
      </w:r>
    </w:p>
    <w:p>
      <w:pPr>
        <w:pStyle w:val="Heading1"/>
      </w:pPr>
      <w:r>
        <w:t>Shipped Home UX refinement</w:t>
      </w:r>
    </w:p>
    <w:p>
      <w:pPr>
        <w:pStyle w:val="ListBullet"/>
      </w:pPr>
      <w:r>
        <w:t>Home remains focused on the next Recess and primary actions.</w:t>
      </w:r>
    </w:p>
    <w:p>
      <w:pPr>
        <w:pStyle w:val="ListBullet"/>
      </w:pPr>
      <w:r>
        <w:t>Finished is presented as Completed; the former Rain checks slot now displays the supported deferred count as Deferred.</w:t>
      </w:r>
    </w:p>
    <w:p>
      <w:pPr>
        <w:pStyle w:val="ListBullet"/>
      </w:pPr>
      <w:r>
        <w:t>Home presents one highest-ranked observation and a View History action. It does not present averages, movement totals, seven-day metric detail, or observation lists.</w:t>
      </w:r>
    </w:p>
    <w:p>
      <w:pPr>
        <w:pStyle w:val="ListBullet"/>
      </w:pPr>
      <w:r>
        <w:t>History presents the detailed Insight Engine output above its existing period summary and timeline.</w:t>
      </w:r>
    </w:p>
    <w:p>
      <w:pPr>
        <w:pStyle w:val="ListBullet"/>
      </w:pPr>
      <w:r>
        <w:t>Insight invalidation and calculations are unchanged; History pull-to-refresh refreshes both History and its detailed Insight presentation.</w:t>
      </w:r>
    </w:p>
    <w:p>
      <w:pPr>
        <w:pStyle w:val="ListBullet"/>
      </w:pPr>
      <w:r>
        <w:t>Physical-device validation confirmed Home fits a common 1080 x 2340 Android screen without scrolling.</w:t>
      </w:r>
    </w:p>
    <w:p>
      <w:pPr>
        <w:pStyle w:val="Heading1"/>
      </w:pPr>
      <w:r>
        <w:t>Sprint 3 Settings contract</w:t>
      </w:r>
    </w:p>
    <w:p>
      <w:r>
        <w:t>Home routes to /settings through the existing GoRouter and retains History as a separate destination. Workday editing reuses the existing onboarding edit route and RecessActions schedule-save behavior.</w:t>
      </w:r>
    </w:p>
    <w:p>
      <w:r>
        <w:t>Settings uses native Material controls and a single Riverpod preferences boundary. Preference changes persist immediately and remain entirely local.</w:t>
      </w:r>
    </w:p>
    <w:p>
      <w:r>
        <w:t>Duration now controls ExercisePrescriptionService output, difficulty controls ExerciseSelector, and Bell sound controls preview plus manual and scheduled Bell resources. Quiet hours remain persisted for a future approved scheduler integration. Existing scheduler timing, session accounting, Fact Engine, History, and schema remain unchanged.</w:t>
      </w:r>
    </w:p>
    <w:p>
      <w:pPr>
        <w:pStyle w:val="Heading1"/>
      </w:pPr>
      <w:r>
        <w:t>Sprint 4 Exercise Engine contract</w:t>
      </w:r>
    </w:p>
    <w:p>
      <w:pPr>
        <w:pStyle w:val="ListBullet"/>
      </w:pPr>
      <w:r>
        <w:t>AssetExerciseRepository owns parsing and validation of the 30-exercise bundled JSON catalog.</w:t>
      </w:r>
    </w:p>
    <w:p>
      <w:pPr>
        <w:pStyle w:val="ListBullet"/>
      </w:pPr>
      <w:r>
        <w:t>ExerciseSelector filters by the persisted Easy, Standard, or Challenging preference, excludes the immediately previous exercise, strongly prefers items outside recent completion history, and falls back to the nearest available tier.</w:t>
      </w:r>
    </w:p>
    <w:p>
      <w:pPr>
        <w:pStyle w:val="ListBullet"/>
      </w:pPr>
      <w:r>
        <w:t>Selection is deterministic for identical catalog, difficulty, previous exercise, and recent-history inputs. Widgets do not select exercises.</w:t>
      </w:r>
    </w:p>
    <w:p>
      <w:pPr>
        <w:pStyle w:val="ListBullet"/>
      </w:pPr>
      <w:r>
        <w:t>ExercisePrescriptionService converts timed, repetition, hold, and sequence execution metadata plus the configured 3, 5, 10, or 15-minute duration into concise deterministic instructions.</w:t>
      </w:r>
    </w:p>
    <w:p>
      <w:pPr>
        <w:pStyle w:val="Heading1"/>
      </w:pPr>
      <w:r>
        <w:t>Bell Sound service contract</w:t>
      </w:r>
    </w:p>
    <w:p>
      <w:pPr>
        <w:pStyle w:val="ListBullet"/>
      </w:pPr>
      <w:r>
        <w:t>BellSoundDefinition is the single mapping for labels, preview assets, Android raw resources and sound-specific channels, and iOS bundled filenames.</w:t>
      </w:r>
    </w:p>
    <w:p>
      <w:pPr>
        <w:pStyle w:val="ListBullet"/>
      </w:pPr>
      <w:r>
        <w:t>Settings preview stops prior playback before playing the new local selection and silently tolerates an unavailable platform audio session.</w:t>
      </w:r>
    </w:p>
    <w:p>
      <w:pPr>
        <w:pStyle w:val="ListBullet"/>
      </w:pPr>
      <w:r>
        <w:t>RecessSessionService reads the persisted Bell sound for manual, scheduled, and deferred delivery without changing notification IDs, timing, cadence, or payload behavior.</w:t>
      </w:r>
    </w:p>
    <w:p>
      <w:pPr>
        <w:pStyle w:val="Heading1"/>
      </w:pPr>
      <w:r>
        <w:t>Completion message contract</w:t>
      </w:r>
    </w:p>
    <w:p>
      <w:pPr>
        <w:pStyle w:val="ListBullet"/>
      </w:pPr>
      <w:r>
        <w:t>CompletionMessageFormatter owns the curated primary-message rotation and deterministic supporting-copy priority outside the widget.</w:t>
      </w:r>
    </w:p>
    <w:p>
      <w:pPr>
        <w:pStyle w:val="ListBullet"/>
      </w:pPr>
      <w:r>
        <w:t>Supporting copy prefers a meaningful reliable local fact, then next scheduled time, final scheduled acknowledgment, manual-session acknowledgment, and quiet fallback.</w:t>
      </w:r>
    </w:p>
    <w:p>
      <w:pPr>
        <w:pStyle w:val="ListBullet"/>
      </w:pPr>
      <w:r>
        <w:t>The completion screen remains centered, local-only, non-gamified, and visible for the existing two-second interval.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09 - Application Services and API Contracts v1.6.0</dc:title>
  <dc:subject>Canonical Sprint 4 service, provider, notification, and presentation contracts</dc:subject>
  <dc:creator>Chris Robinson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1.6.0</cp:version>
</cp:coreProperties>
</file>