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color w:val="000000"/>
        </w:rPr>
        <w:t>原始需求整合说明 第三册</w:t>
      </w:r>
    </w:p>
    <w:p>
      <w:pPr>
        <w:pStyle w:val="Subtitle"/>
      </w:pPr>
      <w:r>
        <w:rPr>
          <w:rFonts w:ascii="Calibri" w:hAnsi="Calibri" w:eastAsia="Microsoft YaHei"/>
          <w:color w:val="000000"/>
        </w:rPr>
        <w:t>KWS市场分析与验收</w:t>
      </w:r>
    </w:p>
    <w:p>
      <w:r>
        <w:rPr>
          <w:rFonts w:ascii="Calibri" w:hAnsi="Calibri" w:eastAsia="Microsoft YaHei"/>
          <w:color w:val="000000"/>
        </w:rPr>
        <w:t>整理日期  2026年10月15日</w:t>
      </w:r>
    </w:p>
    <w:p>
      <w:r>
        <w:rPr>
          <w:rFonts w:ascii="Calibri" w:hAnsi="Calibri" w:eastAsia="Microsoft YaHei"/>
          <w:color w:val="000000"/>
        </w:rPr>
        <w:t>本册包含KWS、市场分析及四项目修订与验收汇总。共同职责及PDS经营见第一册；PDS报关与ADS广告见第二册。</w:t>
      </w:r>
    </w:p>
    <w:p>
      <w:r>
        <w:rPr>
          <w:rFonts w:ascii="Calibri" w:hAnsi="Calibri" w:eastAsia="Microsoft YaHei"/>
          <w:color w:val="000000"/>
        </w:rPr>
        <w:t>按原整合稿完整拆分，不删减功能、条件或验收要求。正文采用最新确认口径，每册保留完整原文索引；原始完整版本与功能现状总览一并保存。本文不替代正式需求、权限记录或已有验收。</w:t>
      </w:r>
    </w:p>
    <w:p>
      <w:pPr>
        <w:pStyle w:val="Heading2"/>
      </w:pPr>
      <w:r>
        <w:t>四个项目的目标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84"/>
        <w:gridCol w:w="4320"/>
        <w:gridCol w:w="432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业务目标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主要交付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 产品经营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从真实经营数据识别产品状态、风险、目标及今日优先事项，组织人工处理与复盘。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今日关注、产品经营卡、异常事件、专业任务及经营观察；另含报关资料工具。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ADS 广告优化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在产品目标、利润、库存和预算约束内，诊断广告问题并形成受控建议。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诊断与动作候选、审核记录、人工操作记录、后续观察与复盘。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KWS 关键词研究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理解搜索需求与商品事实，筛选可用关键词并保留市场证据。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候选词、排除项、复核项、词池与需求结构、来源及补证清单。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市场分析 选品研究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理解市场需求与真实供给，分析竞争条件和可进一步验证的产品方向。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竞品集合、市场结构与报告、机会及风险、研究交接。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阅读约定</w:t>
      </w:r>
    </w:p>
    <w:p>
      <w:r>
        <w:rPr>
          <w:rFonts w:ascii="Calibri" w:hAnsi="Calibri" w:eastAsia="Microsoft YaHei"/>
          <w:color w:val="000000"/>
        </w:rPr>
        <w:t>“需求”不表示功能已完成。“最小范围”表示某版需求收敛的首批交付；“完整目标”保留后续能力；“条件项”仅在所需数据、授权或任务范围具备时适用。功能实现与待验收状态仍查阅另行交付的《四项目需求与功能现状总览》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开发暂停继续有效，现有日常运营按原配置保持。本次整理不启动开发、试验、外部业务操作或新的定时任务。</w:t>
      </w:r>
    </w:p>
    <w:p>
      <w:pPr>
        <w:pStyle w:val="Heading2"/>
      </w:pPr>
      <w:r>
        <w:t>阅读导航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KWS 2至4页　市场分析 5至7页　修订与验收 8至9页　完整原文索引 10至12页</w:t>
      </w:r>
    </w:p>
    <w:p>
      <w:r>
        <w:br w:type="page"/>
      </w:r>
    </w:p>
    <w:p>
      <w:pPr>
        <w:pStyle w:val="Heading1"/>
      </w:pPr>
      <w:r>
        <w:t>KWS 关键词资产与语义筛选</w:t>
      </w:r>
    </w:p>
    <w:p>
      <w:r>
        <w:rPr>
          <w:rFonts w:ascii="Calibri" w:hAnsi="Calibri" w:eastAsia="Microsoft YaHei"/>
          <w:color w:val="000000"/>
        </w:rPr>
        <w:t>KWS 是独立的关键词资产与筛选工具，初始面向 Amazon US。工作链为多源发现 → 规范词库 → 商品匹配 → 市场证据 → 筛选 → Listing/PPC候选 → 广告反馈 → 持续维护。输出供运营和专业项目使用，不直接修改 Listing 或广告。</w:t>
      </w:r>
    </w:p>
    <w:p>
      <w:pPr>
        <w:pStyle w:val="Heading2"/>
      </w:pPr>
      <w:r>
        <w:t>资产与观察记录</w:t>
      </w:r>
    </w:p>
    <w:p>
      <w:r>
        <w:rPr>
          <w:rFonts w:ascii="Calibri" w:hAnsi="Calibri" w:eastAsia="Microsoft YaHei"/>
          <w:b/>
          <w:color w:val="000000"/>
        </w:rPr>
        <w:t xml:space="preserve">规范身份  </w:t>
      </w:r>
      <w:r>
        <w:rPr>
          <w:rFonts w:ascii="Calibri" w:hAnsi="Calibri" w:eastAsia="Microsoft YaHei"/>
          <w:color w:val="000000"/>
        </w:rPr>
        <w:t>保留marketplace、language、原始关键词、归一化关键词与规范标识。归一化保守，不因相似词根、大小写或词序处理吞掉真实意图差异；原始来源记录保留。</w:t>
      </w:r>
    </w:p>
    <w:p>
      <w:r>
        <w:rPr>
          <w:rFonts w:ascii="Calibri" w:hAnsi="Calibri" w:eastAsia="Microsoft YaHei"/>
          <w:b/>
          <w:color w:val="000000"/>
        </w:rPr>
        <w:t xml:space="preserve">来源  </w:t>
      </w:r>
      <w:r>
        <w:rPr>
          <w:rFonts w:ascii="Calibri" w:hAnsi="Calibri" w:eastAsia="Microsoft YaHei"/>
          <w:color w:val="000000"/>
        </w:rPr>
        <w:t>支持已明确的手工与多供应商资料、竞品词、建议词、ABA及广告搜索词等输入方向。每条市场观察保留供应商、业务周期、观测时间、导入时间、原指标和口径，历史追加不覆盖。</w:t>
      </w:r>
    </w:p>
    <w:p>
      <w:r>
        <w:rPr>
          <w:rFonts w:ascii="Calibri" w:hAnsi="Calibri" w:eastAsia="Microsoft YaHei"/>
          <w:b/>
          <w:color w:val="000000"/>
        </w:rPr>
        <w:t xml:space="preserve">指标  </w:t>
      </w:r>
      <w:r>
        <w:rPr>
          <w:rFonts w:ascii="Calibri" w:hAnsi="Calibri" w:eastAsia="Microsoft YaHei"/>
          <w:color w:val="000000"/>
        </w:rPr>
        <w:t>市场搜索量、ABA排名、估算CPC/CVR与账户广告事实分开；导入时间不冒充市场数据时间。跨来源不简单平均、相加或以较新导入覆盖不同时期。</w:t>
      </w:r>
    </w:p>
    <w:p>
      <w:pPr>
        <w:pStyle w:val="Heading2"/>
      </w:pPr>
      <w:r>
        <w:t>以商品和查询组合判断</w:t>
      </w:r>
    </w:p>
    <w:p>
      <w:r>
        <w:rPr>
          <w:rFonts w:ascii="Calibri" w:hAnsi="Calibri" w:eastAsia="Microsoft YaHei"/>
          <w:color w:val="000000"/>
        </w:rPr>
        <w:t>关键词相关性不是全局属性，而是某商品与某查询的关系。产品档案只要求当前可信已知事实；未知允许存在，不要求补全全部属性或负面边界才能使用。事实、推断和未知各自有来源。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判断维度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购买对象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识别中心商品及角色，如“adhesive shower caddy”与“adhesive for shower caddy”不能混为同一需求。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功能与属性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检查产品类型、功能、材质、尺寸、接口、结构、包装、兼容、安装和用途，按任务判断重要性。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冲突与未知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硬冲突必须有明确正向事实；查询没提某属性表示未表达，不自动冲突。尺寸或品牌缩写歧义进入复核。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语义与商业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热度、CPC、外部CVR或已有订单不能抹去已确认硬冲突；相关性也不证明广告会盈利。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结果表达</w:t>
      </w:r>
    </w:p>
    <w:p>
      <w:r>
        <w:rPr>
          <w:rFonts w:ascii="Calibri" w:hAnsi="Calibri" w:eastAsia="Microsoft YaHei"/>
          <w:color w:val="000000"/>
        </w:rPr>
        <w:t>至少输出相关性、ELIGIBLE／INELIGIBLE／REVIEW／INSUFFICIENT_EVIDENCE、支持事实、反证、硬冲突、缺项、理由和复核要求。产品属性词、场景、配件、替换、信息、品牌竞品与未知意图分别表达；短词不天然等于早期意图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Listing、PPC精准、发现、测试或排除仅是使用建议。KWS否定候选不等于广告最终否词，后者仍由ADS结合范围、成熟度和误伤风险判断。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K01；K02；K04；S01。来源编号对应文末索引。</w:t>
      </w:r>
    </w:p>
    <w:p>
      <w:r>
        <w:br w:type="page"/>
      </w:r>
    </w:p>
    <w:p>
      <w:pPr>
        <w:pStyle w:val="Heading1"/>
      </w:pPr>
      <w:r>
        <w:t>KWS 词池市场结构与后续目标</w:t>
      </w:r>
    </w:p>
    <w:p>
      <w:pPr>
        <w:pStyle w:val="Heading2"/>
      </w:pPr>
      <w:r>
        <w:t>当前词池研究 MI1</w:t>
      </w:r>
    </w:p>
    <w:p>
      <w:r>
        <w:rPr>
          <w:rFonts w:ascii="Calibri" w:hAnsi="Calibri" w:eastAsia="Microsoft YaHei"/>
          <w:b/>
          <w:color w:val="000000"/>
        </w:rPr>
        <w:t xml:space="preserve">研究范围  </w:t>
      </w:r>
      <w:r>
        <w:rPr>
          <w:rFonts w:ascii="Calibri" w:hAnsi="Calibri" w:eastAsia="Microsoft YaHei"/>
          <w:color w:val="000000"/>
        </w:rPr>
        <w:t>先明确站点、语言、商品或需求、输入来源、时间与覆盖。市场侧表达和商品侧发现相互补充；当前词池未出现不代表需求不存在，重复来源不能当新增覆盖。</w:t>
      </w:r>
    </w:p>
    <w:p>
      <w:r>
        <w:rPr>
          <w:rFonts w:ascii="Calibri" w:hAnsi="Calibri" w:eastAsia="Microsoft YaHei"/>
          <w:b/>
          <w:color w:val="000000"/>
        </w:rPr>
        <w:t xml:space="preserve">概念提取  </w:t>
      </w:r>
      <w:r>
        <w:rPr>
          <w:rFonts w:ascii="Calibri" w:hAnsi="Calibri" w:eastAsia="Microsoft YaHei"/>
          <w:color w:val="000000"/>
        </w:rPr>
        <w:t>概念是可追溯的语义片段，不是简单词根或token。表达商品类型、功能、材质、尺寸、数量、结构、兼容、安装、技术、控制连接、场景、痛点、用户、风格、品牌型号与配件等。</w:t>
      </w:r>
    </w:p>
    <w:p>
      <w:r>
        <w:rPr>
          <w:rFonts w:ascii="Calibri" w:hAnsi="Calibri" w:eastAsia="Microsoft YaHei"/>
          <w:b/>
          <w:color w:val="000000"/>
        </w:rPr>
        <w:t xml:space="preserve">证据连接  </w:t>
      </w:r>
      <w:r>
        <w:rPr>
          <w:rFonts w:ascii="Calibri" w:hAnsi="Calibri" w:eastAsia="Microsoft YaHei"/>
          <w:color w:val="000000"/>
        </w:rPr>
        <w:t>每个概念保留原词、原文片段、可靠时的位置、方法、置信度及版本。需求聚类与单词意图分类分开，一个词可属于多个合理主题；初期采用可复核的确定性或人工规则。</w:t>
      </w:r>
    </w:p>
    <w:p>
      <w:r>
        <w:rPr>
          <w:rFonts w:ascii="Calibri" w:hAnsi="Calibri" w:eastAsia="Microsoft YaHei"/>
          <w:b/>
          <w:color w:val="000000"/>
        </w:rPr>
        <w:t xml:space="preserve">结构分析  </w:t>
      </w:r>
      <w:r>
        <w:rPr>
          <w:rFonts w:ascii="Calibri" w:hAnsi="Calibri" w:eastAsia="Microsoft YaHei"/>
          <w:color w:val="000000"/>
        </w:rPr>
        <w:t>展示来源覆盖、概念与主题、词数、表达多样性、可比市场指标、Listing/PPC覆盖、相关但未覆盖、冲突集中与待复核集中区域；没有分母不宣称全市场覆盖。</w:t>
      </w:r>
    </w:p>
    <w:p>
      <w:r>
        <w:rPr>
          <w:rFonts w:ascii="Calibri" w:hAnsi="Calibri" w:eastAsia="Microsoft YaHei"/>
          <w:color w:val="000000"/>
        </w:rPr>
        <w:t>Phase1不靠词数冒充需求大小，不把跨供应商搜索量相加，不凭词池构成输出最终机会分数，不让市场热度改写语义判断。首期不要求网络或模型调用；后续明确授权的语义模型工作按其自身范围处理。</w:t>
      </w:r>
    </w:p>
    <w:p>
      <w:pPr>
        <w:pStyle w:val="Heading2"/>
      </w:pPr>
      <w:r>
        <w:t>趋势与覆盖完整目标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12"/>
        <w:gridCol w:w="4680"/>
        <w:gridCol w:w="403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阶段方向</w:t>
            </w:r>
          </w:p>
        </w:tc>
        <w:tc>
          <w:tcPr>
            <w:tcW w:type="dxa" w:w="46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保留需求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前提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趋势与生命周期</w:t>
            </w:r>
          </w:p>
        </w:tc>
        <w:tc>
          <w:tcPr>
            <w:tcW w:type="dxa" w:w="46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识别新出现、上升、稳定、季节性、下降、消失或历史不足。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同源同指标有足够可比历史；单周快照不是趋势，ABA排名与搜索量不可直接拼接。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覆盖与机会</w:t>
            </w:r>
          </w:p>
        </w:tc>
        <w:tc>
          <w:tcPr>
            <w:tcW w:type="dxa" w:w="46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结合广告、ABA/SQP、自然可见度、Listing及VOC，分析需求是否已被有效覆盖。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有实际数据与明确分母；机会排序不能覆盖商品事实和语义冲突。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资产反馈</w:t>
            </w:r>
          </w:p>
        </w:tc>
        <w:tc>
          <w:tcPr>
            <w:tcW w:type="dxa" w:w="46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广告新搜索词可入库并标记发现来源，已有词追加账户表现，重新评估产品关系。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表现差不自动不相关，新词或一次订单不自动成为核心词或成熟资产。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范围控制</w:t>
      </w:r>
    </w:p>
    <w:p>
      <w:r>
        <w:rPr>
          <w:rFonts w:ascii="Calibri" w:hAnsi="Calibri" w:eastAsia="Microsoft YaHei"/>
          <w:color w:val="000000"/>
        </w:rPr>
        <w:t>完整目标可以保留跨类目、更多格式、数据刷新、趋势、外部消费及生命周期，但不是当前最小清单的前置。当前阶段不自动新增爬虫、全量API、定时调用、云端多用户平台或独立关键词引擎副本。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70%自然与30%广告、Top3占比、固定词频等经验只可作为待验证启发，不是跨品类通用硬规则。持久化和语义版本升级须与既有存储及合同相容，不能为一次研究另建平行权威。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K03 第3至10节；K01 第65节；K02。来源编号对应文末索引。</w:t>
      </w:r>
    </w:p>
    <w:p>
      <w:r>
        <w:br w:type="page"/>
      </w:r>
    </w:p>
    <w:p>
      <w:pPr>
        <w:pStyle w:val="Heading1"/>
      </w:pPr>
      <w:r>
        <w:t>KWS 交付与真实使用验收</w:t>
      </w:r>
    </w:p>
    <w:p>
      <w:pPr>
        <w:pStyle w:val="Heading2"/>
      </w:pPr>
      <w:r>
        <w:t>输出内容</w:t>
      </w:r>
    </w:p>
    <w:p>
      <w:r>
        <w:rPr>
          <w:rFonts w:ascii="Calibri" w:hAnsi="Calibri" w:eastAsia="Microsoft YaHei"/>
          <w:color w:val="000000"/>
        </w:rPr>
        <w:t>交付包含研究范围、当前词池、来源覆盖、概念、需求主题、市场结构、逐词筛选、复核队列和运行清单，并能从结论下钻到原词和源记录。CSV为首期本地输入重点，Excel等格式按已明确适配范围处理；Excel、JSON和文本表达相同核心判断。</w:t>
      </w:r>
    </w:p>
    <w:p>
      <w:r>
        <w:rPr>
          <w:rFonts w:ascii="Calibri" w:hAnsi="Calibri" w:eastAsia="Microsoft YaHei"/>
          <w:color w:val="000000"/>
        </w:rPr>
        <w:t>运营应看到可用候选、明确排除、需要补证或人工判断的词，以及每项理由。复核项写明“什么未知会影响哪个结论”，不能把所有词都交回人工重标，也不能为降低复核率强行判定。</w:t>
      </w:r>
    </w:p>
    <w:p>
      <w:pPr>
        <w:pStyle w:val="Heading2"/>
      </w:pPr>
      <w:r>
        <w:t>最小闭环优先级</w:t>
      </w:r>
    </w:p>
    <w:p>
      <w:r>
        <w:rPr>
          <w:rFonts w:ascii="Calibri" w:hAnsi="Calibri" w:eastAsia="Microsoft YaHei"/>
          <w:color w:val="000000"/>
        </w:rPr>
        <w:t>从一个真实商品和现有约100至500词的工作量开始，沿用可用资料，不为凑数量强迫新增API或补全市场。先完成实际输入 → 已有能力复用 → 可理解清单 → 运营反馈 → 必要的小修与定向验证；达到当前工作可用即可停止扩展。</w:t>
      </w:r>
    </w:p>
    <w:p>
      <w:pPr>
        <w:pStyle w:val="Heading2"/>
      </w:pPr>
      <w:r>
        <w:t>人工基准与错误分类</w:t>
      </w:r>
    </w:p>
    <w:p>
      <w:r>
        <w:rPr>
          <w:rFonts w:ascii="Calibri" w:hAnsi="Calibri" w:eastAsia="Microsoft YaHei"/>
          <w:b/>
          <w:color w:val="000000"/>
        </w:rPr>
        <w:t xml:space="preserve">原始样本  </w:t>
      </w:r>
      <w:r>
        <w:rPr>
          <w:rFonts w:ascii="Calibri" w:hAnsi="Calibri" w:eastAsia="Microsoft YaHei"/>
          <w:color w:val="000000"/>
        </w:rPr>
        <w:t>原文件不先人工去重、清洗、合并或重排；必要解析修复单独记录。多个来源的重复词应验证为多个源记录。原协议建议多源，但后续最小闭环不以凑齐来源数量阻塞当前可用资料。</w:t>
      </w:r>
    </w:p>
    <w:p>
      <w:r>
        <w:rPr>
          <w:rFonts w:ascii="Calibri" w:hAnsi="Calibri" w:eastAsia="Microsoft YaHei"/>
          <w:b/>
          <w:color w:val="000000"/>
        </w:rPr>
        <w:t xml:space="preserve">人工判断  </w:t>
      </w:r>
      <w:r>
        <w:rPr>
          <w:rFonts w:ascii="Calibri" w:hAnsi="Calibri" w:eastAsia="Microsoft YaHei"/>
          <w:color w:val="000000"/>
        </w:rPr>
        <w:t>采用ELIGIBLE、INELIGIBLE、REVIEW，REVIEW本身可以是正确答案。区分程序错误、商品事实缺失和真实歧义，不要求运营为消除REVIEW额外研究。</w:t>
      </w:r>
    </w:p>
    <w:p>
      <w:r>
        <w:rPr>
          <w:rFonts w:ascii="Calibri" w:hAnsi="Calibri" w:eastAsia="Microsoft YaHei"/>
          <w:b/>
          <w:color w:val="000000"/>
        </w:rPr>
        <w:t xml:space="preserve">抽样  </w:t>
      </w:r>
      <w:r>
        <w:rPr>
          <w:rFonts w:ascii="Calibri" w:hAnsi="Calibri" w:eastAsia="Microsoft YaHei"/>
          <w:color w:val="000000"/>
        </w:rPr>
        <w:t>大词表可分层抽样覆盖候选、排除、复核、缺证和边界案例；原协议250词、每类50词为建议设计，不是所有任务强制样本量。冻结评估样本与开发样本分开。</w:t>
      </w:r>
    </w:p>
    <w:p>
      <w:r>
        <w:rPr>
          <w:rFonts w:ascii="Calibri" w:hAnsi="Calibri" w:eastAsia="Microsoft YaHei"/>
          <w:b/>
          <w:color w:val="000000"/>
        </w:rPr>
        <w:t xml:space="preserve">重点错误  </w:t>
      </w:r>
      <w:r>
        <w:rPr>
          <w:rFonts w:ascii="Calibri" w:hAnsi="Calibri" w:eastAsia="Microsoft YaHei"/>
          <w:color w:val="000000"/>
        </w:rPr>
        <w:t>商品角色反转、配件替换、功能冲突、材质尺寸安装、品牌及单位歧义、强市场指标诱导、来源时间和证据映射错误。保留人工改判、原因、缺证与范围。</w:t>
      </w:r>
    </w:p>
    <w:p>
      <w:pPr>
        <w:pStyle w:val="Heading2"/>
      </w:pPr>
      <w:r>
        <w:t>通过标准</w:t>
      </w:r>
    </w:p>
    <w:p>
      <w:r>
        <w:rPr>
          <w:rFonts w:ascii="Calibri" w:hAnsi="Calibri" w:eastAsia="Microsoft YaHei"/>
          <w:color w:val="000000"/>
        </w:rPr>
        <w:t>逐词可追溯，重大误收误排已修复或隔离且获得明确范围接受；运营能使用清单完成选词，而不需重新标注全部输入。记录样本数、改判、复核及实际工作负担；有合法基准才报告准确率或时间节省。</w:t>
      </w:r>
    </w:p>
    <w:p>
      <w:r>
        <w:rPr>
          <w:rFonts w:ascii="Calibri" w:hAnsi="Calibri" w:eastAsia="Microsoft YaHei"/>
          <w:color w:val="000000"/>
        </w:rPr>
        <w:t>如果宣称真实模型能力，须验证实际调用、有效响应和准确上下文；离线替代或旧响应只能证明对应范围。规则流程可以独立验收，但不能称为模型成功。重复使用与外部项目消费另有交付验收，导出文件不代表接收方已使用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K01 第65节；K03；K04。来源编号对应文末索引。</w:t>
      </w:r>
    </w:p>
    <w:p>
      <w:r>
        <w:br w:type="page"/>
      </w:r>
    </w:p>
    <w:p>
      <w:pPr>
        <w:pStyle w:val="Heading1"/>
      </w:pPr>
      <w:r>
        <w:t>市场分析 商品需求与真实竞品</w:t>
      </w:r>
    </w:p>
    <w:p>
      <w:r>
        <w:rPr>
          <w:rFonts w:ascii="Calibri" w:hAnsi="Calibri" w:eastAsia="Microsoft YaHei"/>
          <w:color w:val="000000"/>
        </w:rPr>
        <w:t>项目目标是从陌生商品与真实购买需求出发重建市场，再解释竞争和机会。完整链路为来源证据 → 规范与解析 → 商品理解 → 需求理解 → 商品需求关系 → 候选供给分类 → 真实竞品集合 → 市场和机会分析 → 人工决定。</w:t>
      </w:r>
    </w:p>
    <w:p>
      <w:pPr>
        <w:pStyle w:val="Heading2"/>
      </w:pPr>
      <w:r>
        <w:t>来源独立的数据模型</w:t>
      </w:r>
    </w:p>
    <w:p>
      <w:r>
        <w:rPr>
          <w:rFonts w:ascii="Calibri" w:hAnsi="Calibri" w:eastAsia="Microsoft YaHei"/>
          <w:b/>
          <w:color w:val="000000"/>
        </w:rPr>
        <w:t xml:space="preserve">供应商适配  </w:t>
      </w:r>
      <w:r>
        <w:rPr>
          <w:rFonts w:ascii="Calibri" w:hAnsi="Calibri" w:eastAsia="Microsoft YaHei"/>
          <w:color w:val="000000"/>
        </w:rPr>
        <w:t>西柚和Sorftime是当前来源角色，智能层不直接绑定某个原始JSON。支持单来源合法运行，其他来源补充证据，不为了形式完整强制多源。</w:t>
      </w:r>
    </w:p>
    <w:p>
      <w:r>
        <w:rPr>
          <w:rFonts w:ascii="Calibri" w:hAnsi="Calibri" w:eastAsia="Microsoft YaHei"/>
          <w:b/>
          <w:color w:val="000000"/>
        </w:rPr>
        <w:t xml:space="preserve">证据层级  </w:t>
      </w:r>
      <w:r>
        <w:rPr>
          <w:rFonts w:ascii="Calibri" w:hAnsi="Calibri" w:eastAsia="Microsoft YaHei"/>
          <w:color w:val="000000"/>
        </w:rPr>
        <w:t>OBSERVED直接观察、PROVIDER_ESTIMATE供应商估算、RESOLVED经规则选定、DERIVED计算派生分别保存；带来源、时间、周期、单位、scope、变换方法与引用。Unknown、Missing、查询空与零不混同。</w:t>
      </w:r>
    </w:p>
    <w:p>
      <w:r>
        <w:rPr>
          <w:rFonts w:ascii="Calibri" w:hAnsi="Calibri" w:eastAsia="Microsoft YaHei"/>
          <w:b/>
          <w:color w:val="000000"/>
        </w:rPr>
        <w:t xml:space="preserve">冲突  </w:t>
      </w:r>
      <w:r>
        <w:rPr>
          <w:rFonts w:ascii="Calibri" w:hAnsi="Calibri" w:eastAsia="Microsoft YaHei"/>
          <w:color w:val="000000"/>
        </w:rPr>
        <w:t>字段级并存不同观察，不简单平均，不以某源权重替代语义判断。单位、货币、周期或指标含义不能确认时阻断相关聚合，但保留不受影响的商品结论。</w:t>
      </w:r>
    </w:p>
    <w:p>
      <w:pPr>
        <w:pStyle w:val="Heading2"/>
      </w:pPr>
      <w:r>
        <w:t>商品与需求理解</w:t>
      </w:r>
    </w:p>
    <w:p>
      <w:r>
        <w:rPr>
          <w:rFonts w:ascii="Calibri" w:hAnsi="Calibri" w:eastAsia="Microsoft YaHei"/>
          <w:color w:val="000000"/>
        </w:rPr>
        <w:t>从标题、品牌、类目、结构化属性、描述、技术参数、变体及可得评论形成动态产品快照；不要求用户给每个陌生ASIN先建人工知识包。至少表达类型、功能、材质、尺寸、接口、结构、颜色、风格、数量、兼容、用途、用户、解决问题、品牌型号、认证和商品角色的已知与未知。</w:t>
      </w:r>
    </w:p>
    <w:p>
      <w:r>
        <w:rPr>
          <w:rFonts w:ascii="Calibri" w:hAnsi="Calibri" w:eastAsia="Microsoft YaHei"/>
          <w:color w:val="000000"/>
        </w:rPr>
        <w:t>按具体购买任务解释必要与可权衡条件，卖家声明不自动成为认证。只有标题时最多PARTIAL；缺评论不抹去其他已知事实。需求分析优先消费KWS的规范关键词与主题，形成对象、功能、规格、兼容、场景、痛点及歧义，避免重复开发关键词引擎。</w:t>
      </w:r>
    </w:p>
    <w:p>
      <w:pPr>
        <w:pStyle w:val="Heading2"/>
      </w:pPr>
      <w:r>
        <w:t>供给分类与聚合</w:t>
      </w:r>
    </w:p>
    <w:p>
      <w:r>
        <w:rPr>
          <w:rFonts w:ascii="Calibri" w:hAnsi="Calibri" w:eastAsia="Microsoft YaHei"/>
          <w:color w:val="000000"/>
        </w:rPr>
        <w:t>搜索结果只提供候选，进一步区分核心竞品、相关、局部或场景相邻、配件、替代品、规格冲突、无关和待复核。文本相似度、标题含词或embedding不能单独决定竞争关系。保留关键词→ASIN与ASIN→关键词的方向；一个方向为空不表示没有市场。</w:t>
      </w:r>
    </w:p>
    <w:p>
      <w:r>
        <w:rPr>
          <w:rFonts w:ascii="Calibri" w:hAnsi="Calibri" w:eastAsia="Microsoft YaHei"/>
          <w:color w:val="000000"/>
        </w:rPr>
        <w:t>父子体采用明确且版本化的去重聚合口径；关系未知时不猜分配销量，父体分摊到子体需标派生。比较包装数量、总价、单位价及使用条件；只在可比历史存在时称为变化，抓取日期不冒充变化发生日。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M01 第6至19节；S01。来源编号对应文末索引。</w:t>
      </w:r>
    </w:p>
    <w:p>
      <w:r>
        <w:br w:type="page"/>
      </w:r>
    </w:p>
    <w:p>
      <w:pPr>
        <w:pStyle w:val="Heading1"/>
      </w:pPr>
      <w:r>
        <w:t>市场分析 完整报告业务需求</w:t>
      </w:r>
    </w:p>
    <w:p>
      <w:r>
        <w:rPr>
          <w:rFonts w:ascii="Calibri" w:hAnsi="Calibri" w:eastAsia="Microsoft YaHei"/>
          <w:color w:val="000000"/>
        </w:rPr>
        <w:t>原“浴室淋浴置物架市场调研”参考表作为业务能力样板，不要求复制其公式、单元格坐标和Sheet顺序。完整报告回答市场多大、增长如何、谁在卖、主要结构、进入门槛、买家痛点、供给缺口及值得进一步验证的方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原始需求内容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范围与规模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站点类目、研究词或需求主题、样本及唯一ASIN数、时间、父子体口径、来源覆盖；月销量销售额、趋势、季节性、新品贡献和限制。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竞争与分布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真实竞品、Top10及品牌卖家集中度、价格评论评分上架时间FBA费用留评率分布；产品类型、材质、安装、结构容量、颜色、套装、尺寸重量等细分。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竞品明细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身份链接图片、产品属性和包装、BSR及销量收入增长、价格优惠、评论评分、履约费用、卖家与推广信号；缺值保留未知。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买家需求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正向需求、痛点、类型、关联ASIN和评论、频度强度、覆盖、置信度，以及竞品是否满足；不由标题卖点臆造。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产品方向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产品类型、结构规格、材质安装包装、价格带、对应需求及证据、直接竞品、进入逻辑、验证项、风险和限制。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竞品与样品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有理由的直接竞品短名单；样品计划包含优先级、配置、目标价格、对标竞品、验证目的及必测风险，不作为采购指令。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经济与风险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售价、佣金、FBA、采购头程、包装、广告假设、退损及其他变动成本，区分毛利、贡献与净利；缺成本显示PARTIAL或UNAVAILABLE。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关键词融合与供需缺口</w:t>
      </w:r>
    </w:p>
    <w:p>
      <w:r>
        <w:rPr>
          <w:rFonts w:ascii="Calibri" w:hAnsi="Calibri" w:eastAsia="Microsoft YaHei"/>
          <w:color w:val="000000"/>
        </w:rPr>
        <w:t>当外部KWS结果可用时，经版本化合同关联关键词、搜索量趋势、意图主题、相关性、竞争、CPC及来源。将关键词需求、买家痛点与真实供给连接，说明哪里未满足、证据强弱及进一步方向；一条差评或一个词不能单独证明缺口。KWS不可用时允许其他市场分析降级运行。</w:t>
      </w:r>
    </w:p>
    <w:p>
      <w:pPr>
        <w:pStyle w:val="Heading2"/>
      </w:pPr>
      <w:r>
        <w:t>完整目标的条件项</w:t>
      </w:r>
    </w:p>
    <w:p>
      <w:r>
        <w:rPr>
          <w:rFonts w:ascii="Calibri" w:hAnsi="Calibri" w:eastAsia="Microsoft YaHei"/>
          <w:color w:val="000000"/>
        </w:rPr>
        <w:t>成本核算、卖家地域、Top商品运营视图、样品计划及风险筛查为立项增强；三个月预测、更完整广告经济模型、外部知识产权检索、样品反馈和历史对比保留后续范围。没有数据与模型时不填伪预测；采购价30%等模板参数不能固定为全品类规则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知识产权输出风险等级、触发证据和人工核查事项，不下“侵权或不侵权”法律结论。承重、防锈等声明区分卖家主张、观察、评论、测试和推断。最终立项由人工决定。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M02 第3至20节；M01 第20至25节。来源编号对应文末索引。</w:t>
      </w:r>
    </w:p>
    <w:p>
      <w:r>
        <w:br w:type="page"/>
      </w:r>
    </w:p>
    <w:p>
      <w:pPr>
        <w:pStyle w:val="Heading1"/>
      </w:pPr>
      <w:r>
        <w:t>市场分析 运营报告与协作验收</w:t>
      </w:r>
    </w:p>
    <w:p>
      <w:pPr>
        <w:pStyle w:val="Heading2"/>
      </w:pPr>
      <w:r>
        <w:t>运营报告的明确范围</w:t>
      </w:r>
    </w:p>
    <w:p>
      <w:r>
        <w:rPr>
          <w:rFonts w:ascii="Calibri" w:hAnsi="Calibri" w:eastAsia="Microsoft YaHei"/>
          <w:color w:val="000000"/>
        </w:rPr>
        <w:t>V0.3报告消费治理后的整合结果及精确ID、指纹和上游语义版本。将已发布路线成员按产品家族作互斥并集汇总，重新计算中位数、增长和集中度；机制视图是另一观察角度，不能和家族重复相加。未分类及待复核对象单列暴露，不猜分配给家族。</w:t>
      </w:r>
    </w:p>
    <w:p>
      <w:r>
        <w:rPr>
          <w:rFonts w:ascii="Calibri" w:hAnsi="Calibri" w:eastAsia="Microsoft YaHei"/>
          <w:b/>
          <w:color w:val="000000"/>
        </w:rPr>
        <w:t xml:space="preserve">统计口径  </w:t>
      </w:r>
      <w:r>
        <w:rPr>
          <w:rFonts w:ascii="Calibri" w:hAnsi="Calibri" w:eastAsia="Microsoft YaHei"/>
          <w:color w:val="000000"/>
        </w:rPr>
        <w:t>销量份额是已观察样本中的份额，不是市场总体份额。展示价格、评论、180日和365日新品、可比配对增长及品牌集中度；两个新品窗口可重叠，缺上架时间不算老品。</w:t>
      </w:r>
    </w:p>
    <w:p>
      <w:r>
        <w:rPr>
          <w:rFonts w:ascii="Calibri" w:hAnsi="Calibri" w:eastAsia="Microsoft YaHei"/>
          <w:b/>
          <w:color w:val="000000"/>
        </w:rPr>
        <w:t xml:space="preserve">覆盖提示  </w:t>
      </w:r>
      <w:r>
        <w:rPr>
          <w:rFonts w:ascii="Calibri" w:hAnsi="Calibri" w:eastAsia="Microsoft YaHei"/>
          <w:color w:val="000000"/>
        </w:rPr>
        <w:t>默认覆盖提示涉及50%已分配商品、80%已观察销量与50%未分配暴露等配置，仅控制报告提示和降级，不重新定义上游纳入资格或保证全市场结论。</w:t>
      </w:r>
    </w:p>
    <w:p>
      <w:r>
        <w:rPr>
          <w:rFonts w:ascii="Calibri" w:hAnsi="Calibri" w:eastAsia="Microsoft YaHei"/>
          <w:b/>
          <w:color w:val="000000"/>
        </w:rPr>
        <w:t xml:space="preserve">未知保留  </w:t>
      </w:r>
      <w:r>
        <w:rPr>
          <w:rFonts w:ascii="Calibri" w:hAnsi="Calibri" w:eastAsia="Microsoft YaHei"/>
          <w:color w:val="000000"/>
        </w:rPr>
        <w:t>“成功新品”没有正式成功定义时为UNAVAILABLE；缺少治理后的评论或搜索需求不创造Buyer Need；成本、广告与利润缺失时不能给上市批准。研究优先级只是有条件的进一步研究建议。</w:t>
      </w:r>
    </w:p>
    <w:p>
      <w:r>
        <w:rPr>
          <w:rFonts w:ascii="Calibri" w:hAnsi="Calibri" w:eastAsia="Microsoft YaHei"/>
          <w:b/>
          <w:color w:val="000000"/>
        </w:rPr>
        <w:t xml:space="preserve">多格式  </w:t>
      </w:r>
      <w:r>
        <w:rPr>
          <w:rFonts w:ascii="Calibri" w:hAnsi="Calibri" w:eastAsia="Microsoft YaHei"/>
          <w:color w:val="000000"/>
        </w:rPr>
        <w:t>中文为默认运营表达，可提供英文；JSON、Markdown与15张表的Excel来自同一验证后结果。技术ID用于审计，中文标签服务阅读；保留11项人工评审问题，回答未取得时保持空白。</w:t>
      </w:r>
    </w:p>
    <w:p>
      <w:pPr>
        <w:pStyle w:val="Heading2"/>
      </w:pPr>
      <w:r>
        <w:t>PDS 协作与新研究接收</w:t>
      </w:r>
    </w:p>
    <w:p>
      <w:r>
        <w:rPr>
          <w:rFonts w:ascii="Calibri" w:hAnsi="Calibri" w:eastAsia="Microsoft YaHei"/>
          <w:color w:val="000000"/>
        </w:rPr>
        <w:t>已定义复用场景包括原生报价复核、报价比较和竞争差异，以版本化文件及受控原生入口交接。输入来源、方法和结果身份绑定；方法不一致的历史结论拒绝复用，不自动重试或调用新付费研究。</w:t>
      </w:r>
    </w:p>
    <w:p>
      <w:r>
        <w:rPr>
          <w:rFonts w:ascii="Calibri" w:hAnsi="Calibri" w:eastAsia="Microsoft YaHei"/>
          <w:color w:val="000000"/>
        </w:rPr>
        <w:t>新研究接收必须明确对象、来源、待作决定、目标与预期输出。接收后为待分析，research_completed=false；只有分析、合法结果及反馈完成才进入后续状态。离线合成样本明确标记，不能称为真实新研究。</w:t>
      </w:r>
    </w:p>
    <w:p>
      <w:pPr>
        <w:pStyle w:val="Heading2"/>
      </w:pPr>
      <w:r>
        <w:t>验收分层</w:t>
      </w:r>
    </w:p>
    <w:p>
      <w:r>
        <w:rPr>
          <w:rFonts w:ascii="Calibri" w:hAnsi="Calibri" w:eastAsia="Microsoft YaHei"/>
          <w:b/>
          <w:color w:val="000000"/>
        </w:rPr>
        <w:t xml:space="preserve">技术验收  </w:t>
      </w:r>
      <w:r>
        <w:rPr>
          <w:rFonts w:ascii="Calibri" w:hAnsi="Calibri" w:eastAsia="Microsoft YaHei"/>
          <w:color w:val="000000"/>
        </w:rPr>
        <w:t>用真实类目规范证据生成可追溯报告；父子体不重复、未知不填零、估算不冒充观察；分组总量、覆盖、口径、证据引用与多格式核心结论一致。</w:t>
      </w:r>
    </w:p>
    <w:p>
      <w:r>
        <w:rPr>
          <w:rFonts w:ascii="Calibri" w:hAnsi="Calibri" w:eastAsia="Microsoft YaHei"/>
          <w:b/>
          <w:color w:val="000000"/>
        </w:rPr>
        <w:t xml:space="preserve">经营协作验收  </w:t>
      </w:r>
      <w:r>
        <w:rPr>
          <w:rFonts w:ascii="Calibri" w:hAnsi="Calibri" w:eastAsia="Microsoft YaHei"/>
          <w:color w:val="000000"/>
        </w:rPr>
        <w:t>判断是否补充关键竞争证据、发现反证、改善需求取舍或减少人工工作；不能只以接口成功、字段增加或报告生成判通过。</w:t>
      </w:r>
    </w:p>
    <w:p>
      <w:r>
        <w:rPr>
          <w:rFonts w:ascii="Calibri" w:hAnsi="Calibri" w:eastAsia="Microsoft YaHei"/>
          <w:b/>
          <w:color w:val="000000"/>
        </w:rPr>
        <w:t xml:space="preserve">独立选品验收  </w:t>
      </w:r>
      <w:r>
        <w:rPr>
          <w:rFonts w:ascii="Calibri" w:hAnsi="Calibri" w:eastAsia="Microsoft YaHei"/>
          <w:color w:val="000000"/>
        </w:rPr>
        <w:t>另行评估产品方向、需求和竞争依据、进入条件、风险及下一步验证是否有用；运营协作成绩不能替代选品验收。样本、费用、风险和耗时基线按任务确认。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M03；M04；M05；M06；M01 第34.1节。来源编号对应文末索引。</w:t>
      </w:r>
    </w:p>
    <w:p>
      <w:r>
        <w:br w:type="page"/>
      </w:r>
    </w:p>
    <w:p>
      <w:pPr>
        <w:pStyle w:val="Heading1"/>
      </w:pPr>
      <w:r>
        <w:t>原文修订与冲突处理</w:t>
      </w:r>
    </w:p>
    <w:p>
      <w:r>
        <w:rPr>
          <w:rFonts w:ascii="Calibri" w:hAnsi="Calibri" w:eastAsia="Microsoft YaHei"/>
          <w:color w:val="000000"/>
        </w:rPr>
        <w:t>以下是整合时必须保留的版本关系。版本号不用于跨文件直接比大小，应以该文件的职责、确认日期及明确替代声明判断。本文不批量改写任何历史源文件。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2880"/>
        <w:gridCol w:w="5904"/>
        <w:gridCol w:w="144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原文或历史安排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整合采用口径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依据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PDS原基线先完成自身闭环再提供广告上下文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保留原MVP边界；协作优先级按后续共同确认及已授权任务，不重启旧顺序。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S01、P02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经营知识与正式生命周期采用不同阶段名称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策略阶段、正式生命周期、Mode与目标分别保留，不静默迁移。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P01、P04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PDS直接向KWS派广告语义任务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广告场景通过ADS组织KWS语义；合法已有结果按已明确范围消费。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S01、P05c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用计划量作为本次报关数量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C30以发货单明细为主；计划和货件关联补充，不自动成为最终装箱依据。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P06 C30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不同规格必须拆项或增加单价精度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C35同类兼容SKU汇总；单价最多两位，规格与SKU映射保留。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P06 C35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管件金额直接取整或净重和单价都整数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2026年10月15日有界筛选：±2kg、0.01kg网格、整数直接乘积且不低于成本，按最小差额确定。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P06 C35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ADS的AI只解释固定规则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V1.1允许模型提出受控候选，程序仍管理事实和校验，人工决定；既有确定性成果保留。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A01取代旧方向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ADS原路线以新报表匹配建议值辅助建立观察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保留匹配辅助；新记忆路线另存实际操作事实，匹配与审核接受均不等于执行。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A01、A04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ADS历史人工审核与Approved Bulk导出路线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保留历史独立审核导出路线；当前模型候选保持非执行，不自动进入Bulk。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A01、A09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KWS原较宽路线图与多源验证建议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最新最小闭环优先完成真实可用清单；未来趋势、平台和广泛集成不作前置。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K01第65节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市场完整报告及外部关键词融合路线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完整目标保留；近期经营任务按具体决定选择最小研究，现成KWS结果可按合同先消费。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S01、M01、M02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共同需求1.1固定采用版本与其后PDS本地增补分开。暂停时已将本地文档保存到各仓库，不等于所有项目已共同采用每项新增条款，也不重新签署历史验收。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上述来源及暂停时各仓库的需求采用说明。来源编号对应文末索引。</w:t>
      </w:r>
    </w:p>
    <w:p>
      <w:r>
        <w:br w:type="page"/>
      </w:r>
    </w:p>
    <w:p>
      <w:pPr>
        <w:pStyle w:val="Heading1"/>
      </w:pPr>
      <w:r>
        <w:t>验收索引与尚待确定的参数</w:t>
      </w:r>
    </w:p>
    <w:p>
      <w:pPr>
        <w:pStyle w:val="Heading2"/>
      </w:pPr>
      <w:r>
        <w:t>沿用原验收标识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296"/>
        <w:gridCol w:w="3816"/>
        <w:gridCol w:w="5112"/>
      </w:tblGrid>
      <w:tr>
        <w:trPr>
          <w:cantSplit/>
          <w:tblHeader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领域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原文验收依据</w:t>
            </w:r>
          </w:p>
        </w:tc>
        <w:tc>
          <w:tcPr>
            <w:tcW w:type="dxa" w:w="51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应交付的证明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PDS经营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P04 OPA-01至OPA-14；P02第13节</w:t>
            </w:r>
          </w:p>
        </w:tc>
        <w:tc>
          <w:tcPr>
            <w:tcW w:type="dxa" w:w="51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真实身份与证据、目标和风险、可用经营判断、专业反馈、人工操作和结果分别闭合。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PDS监测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P03第13节</w:t>
            </w:r>
          </w:p>
        </w:tc>
        <w:tc>
          <w:tcPr>
            <w:tcW w:type="dxa" w:w="51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Active集合与结果覆盖对账、数据域独立、事件连续、库存模拟、非计划零调用和权限不越界。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PDS报关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P06第11节及C30至C36专项</w:t>
            </w:r>
          </w:p>
        </w:tc>
        <w:tc>
          <w:tcPr>
            <w:tcW w:type="dxa" w:w="51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来源与缺项、批次、计算、两公司全部文件、真实装箱、交付形态及正式业务验收各自留证。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ADS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A01 PR系列；A03 KBA-01至KBA-14；A05 AT-01至AT-15；A06第18节</w:t>
            </w:r>
          </w:p>
        </w:tc>
        <w:tc>
          <w:tcPr>
            <w:tcW w:type="dxa" w:w="51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真实建议、证据校验、风险保护、预算组合、人工审核、实际操作与可比结果。历史场景按其范围使用。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KWS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K01第65节；K03验收；K04真实验证协议</w:t>
            </w:r>
          </w:p>
        </w:tc>
        <w:tc>
          <w:tcPr>
            <w:tcW w:type="dxa" w:w="51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真实清单逐词可追溯、错误与缺证区分、人工可用、重复使用和外部消费分别确认。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市场分析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M01第34节；M02第19节；M04验收</w:t>
            </w:r>
          </w:p>
        </w:tc>
        <w:tc>
          <w:tcPr>
            <w:tcW w:type="dxa" w:w="51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商品需求关系、竞品与统计安全、报告一致性、运营研究价值和独立选品价值分开验证。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不应由汇编擅自补齐的内容</w:t>
      </w:r>
    </w:p>
    <w:p>
      <w:r>
        <w:rPr>
          <w:rFonts w:ascii="Calibri" w:hAnsi="Calibri" w:eastAsia="Microsoft YaHei"/>
          <w:b/>
          <w:color w:val="000000"/>
        </w:rPr>
        <w:t xml:space="preserve">经营参数  </w:t>
      </w:r>
      <w:r>
        <w:rPr>
          <w:rFonts w:ascii="Calibri" w:hAnsi="Calibri" w:eastAsia="Microsoft YaHei"/>
          <w:color w:val="000000"/>
        </w:rPr>
        <w:t>各商品目标、投入及累计亏损额度、有效期、试验D0、观察长度、样本成熟度、成功失败和不可评价条件，由真实任务与人工确认决定。</w:t>
      </w:r>
    </w:p>
    <w:p>
      <w:r>
        <w:rPr>
          <w:rFonts w:ascii="Calibri" w:hAnsi="Calibri" w:eastAsia="Microsoft YaHei"/>
          <w:b/>
          <w:color w:val="000000"/>
        </w:rPr>
        <w:t xml:space="preserve">算法配置  </w:t>
      </w:r>
      <w:r>
        <w:rPr>
          <w:rFonts w:ascii="Calibri" w:hAnsi="Calibri" w:eastAsia="Microsoft YaHei"/>
          <w:color w:val="000000"/>
        </w:rPr>
        <w:t>预期CVR、平滑强度、Bid与预算步长、冷却期、集中度分桶、机会分数权重、供应商差异容忍等，保留原文示例和配置来源，不升级为通用事实。</w:t>
      </w:r>
    </w:p>
    <w:p>
      <w:r>
        <w:rPr>
          <w:rFonts w:ascii="Calibri" w:hAnsi="Calibri" w:eastAsia="Microsoft YaHei"/>
          <w:b/>
          <w:color w:val="000000"/>
        </w:rPr>
        <w:t xml:space="preserve">报关口径  </w:t>
      </w:r>
      <w:r>
        <w:rPr>
          <w:rFonts w:ascii="Calibri" w:hAnsi="Calibri" w:eastAsia="Microsoft YaHei"/>
          <w:color w:val="000000"/>
        </w:rPr>
        <w:t>固定公式、品名编码、C35精度已明确；贸易条款、运保杂费、剩余批次编号和未确认模板字段按实际业务确认。原表空白不猜填，未完成正式接收方验收不写成已经通过。</w:t>
      </w:r>
    </w:p>
    <w:p>
      <w:r>
        <w:rPr>
          <w:rFonts w:ascii="Calibri" w:hAnsi="Calibri" w:eastAsia="Microsoft YaHei"/>
          <w:b/>
          <w:color w:val="000000"/>
        </w:rPr>
        <w:t xml:space="preserve">未来能力  </w:t>
      </w:r>
      <w:r>
        <w:rPr>
          <w:rFonts w:ascii="Calibri" w:hAnsi="Calibri" w:eastAsia="Microsoft YaHei"/>
          <w:color w:val="000000"/>
        </w:rPr>
        <w:t>市场“成功新品”定义、预测模型、更多类目验证、完整KWS趋势与跨项目消费、ADS完整增长和实验平台仍按独立需求实施，不因本汇编自动开工。</w:t>
      </w:r>
    </w:p>
    <w:p>
      <w:pPr>
        <w:pStyle w:val="Heading2"/>
      </w:pPr>
      <w:r>
        <w:t>恢复工作时的使用方式</w:t>
      </w:r>
    </w:p>
    <w:p>
      <w:r>
        <w:rPr>
          <w:rFonts w:ascii="Calibri" w:hAnsi="Calibri" w:eastAsia="Microsoft YaHei"/>
          <w:color w:val="000000"/>
        </w:rPr>
        <w:t>先查看对应仓库暂停记录与功能现状，再以本汇编定位需求及原文，选择一个确实影响使用的缺口；只恢复该范围的工作。保留现有运营计划，另行记录恢复任务、验收对象和结果。本汇编没有修改运行配置或生产权限。</w:t>
      </w:r>
    </w:p>
    <w:p>
      <w:r>
        <w:br w:type="page"/>
      </w:r>
    </w:p>
    <w:p>
      <w:pPr>
        <w:pStyle w:val="Heading1"/>
      </w:pPr>
      <w:r>
        <w:t>原文索引 共同需求与PDS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以下链接固定到本次暂停保存的GitHub提交，避免main后续变化改变引用内容。私有仓库须登录有权限账号。文件名中的旧版本和原文状态措辞保留，具体采用关系见前文。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S01  </w:t>
      </w:r>
      <w:hyperlink r:id="rId11">
        <w:r>
          <w:rPr>
            <w:color w:val="245C80"/>
            <w:sz w:val="20"/>
            <w:rFonts w:ascii="Calibri" w:hAnsi="Calibri" w:eastAsia="Microsoft YaHei"/>
          </w:rPr>
          <w:t>PDS ADS KWS 共同需求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共同角色、交接、证据、业务验证和本地补充；各项目采用范围仍以各自记录为准。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P01  </w:t>
      </w:r>
      <w:hyperlink r:id="rId12">
        <w:r>
          <w:rPr>
            <w:color w:val="245C80"/>
            <w:sz w:val="20"/>
            <w:rFonts w:ascii="Calibri" w:hAnsi="Calibri" w:eastAsia="Microsoft YaHei"/>
          </w:rPr>
          <w:t>Product State Daily Decision Engine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原始经营愿景、四层模型、数据来源、状态与日常决策。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P02  </w:t>
      </w:r>
      <w:hyperlink r:id="rId13">
        <w:r>
          <w:rPr>
            <w:color w:val="245C80"/>
            <w:sz w:val="20"/>
            <w:rFonts w:ascii="Calibri" w:hAnsi="Calibri" w:eastAsia="Microsoft YaHei"/>
          </w:rPr>
          <w:t>PDS 产品方向与MVP交付基线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正式产品方向入口、MVP、真实纵向链路、界面及后续专项行为。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P03  </w:t>
      </w:r>
      <w:hyperlink r:id="rId14">
        <w:r>
          <w:rPr>
            <w:color w:val="245C80"/>
            <w:sz w:val="20"/>
            <w:rFonts w:ascii="Calibri" w:hAnsi="Calibri" w:eastAsia="Microsoft YaHei"/>
          </w:rPr>
          <w:t>PDS 全产品日常监测MVP需求与路线图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全产品集合、销售脉冲、事件、库存、西柚调度、发布及全局验收。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P04  </w:t>
      </w:r>
      <w:hyperlink r:id="rId15">
        <w:r>
          <w:rPr>
            <w:color w:val="245C80"/>
            <w:sz w:val="20"/>
            <w:rFonts w:ascii="Calibri" w:hAnsi="Calibri" w:eastAsia="Microsoft YaHei"/>
          </w:rPr>
          <w:t>PDS 产品经营策略需求与验收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经营知识采用要求、目标权限、投入、诊断、计划及OPA验收。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P05a  </w:t>
      </w:r>
      <w:hyperlink r:id="rId16">
        <w:r>
          <w:rPr>
            <w:color w:val="245C80"/>
            <w:sz w:val="20"/>
            <w:rFonts w:ascii="Calibri" w:hAnsi="Calibri" w:eastAsia="Microsoft YaHei"/>
          </w:rPr>
          <w:t>产品经营知识原始Word Part1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经营卡与生命周期，含PDS-LIFE-001至005。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P05b  </w:t>
      </w:r>
      <w:hyperlink r:id="rId17">
        <w:r>
          <w:rPr>
            <w:color w:val="245C80"/>
            <w:sz w:val="20"/>
            <w:rFonts w:ascii="Calibri" w:hAnsi="Calibri" w:eastAsia="Microsoft YaHei"/>
          </w:rPr>
          <w:t>产品经营知识原始Word Part2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五类目标与异常诊断，含PDS-OBJ和PDS-DIAG原始规则。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P05c  </w:t>
      </w:r>
      <w:hyperlink r:id="rId18">
        <w:r>
          <w:rPr>
            <w:color w:val="245C80"/>
            <w:sz w:val="20"/>
            <w:rFonts w:ascii="Calibri" w:hAnsi="Calibri" w:eastAsia="Microsoft YaHei"/>
          </w:rPr>
          <w:t>产品经营知识原始Word Part3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跨项目协作、真实案例与规则经验。任务路由按后续共同需求修订。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P05d  </w:t>
      </w:r>
      <w:hyperlink r:id="rId19">
        <w:r>
          <w:rPr>
            <w:color w:val="245C80"/>
            <w:sz w:val="20"/>
            <w:rFonts w:ascii="Calibri" w:hAnsi="Calibri" w:eastAsia="Microsoft YaHei"/>
          </w:rPr>
          <w:t>产品经营知识原始Word Part4 Codex Implementation Mapping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知识到模型、输入、输出、验证和实现的映射与阶段建议。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P06  </w:t>
      </w:r>
      <w:hyperlink r:id="rId20">
        <w:r>
          <w:rPr>
            <w:color w:val="245C80"/>
            <w:sz w:val="20"/>
            <w:rFonts w:ascii="Calibri" w:hAnsi="Calibri" w:eastAsia="Microsoft YaHei"/>
          </w:rPr>
          <w:t>领星发货单报关资料需求 V0.1及后续确认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完整C01至C36及来源、计算、模板、公司、网站、Windows与源码交付要求。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P07  </w:t>
      </w:r>
      <w:hyperlink r:id="rId21">
        <w:r>
          <w:rPr>
            <w:color w:val="245C80"/>
            <w:sz w:val="20"/>
            <w:rFonts w:ascii="Calibri" w:hAnsi="Calibri" w:eastAsia="Microsoft YaHei"/>
          </w:rPr>
          <w:t>PDS ADS 诊断协作能力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PDS调用广告诊断及返回内容的专项能力边界。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P08  </w:t>
      </w:r>
      <w:hyperlink r:id="rId22">
        <w:r>
          <w:rPr>
            <w:color w:val="245C80"/>
            <w:sz w:val="20"/>
            <w:rFonts w:ascii="Calibri" w:hAnsi="Calibri" w:eastAsia="Microsoft YaHei"/>
          </w:rPr>
          <w:t>PDS 市场研究选择与路由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市场证据消费与任务选择的专项要求。</w:t>
      </w:r>
    </w:p>
    <w:p>
      <w:r>
        <w:br w:type="page"/>
      </w:r>
    </w:p>
    <w:p>
      <w:pPr>
        <w:pStyle w:val="Heading1"/>
      </w:pPr>
      <w:r>
        <w:t>原文索引 ADS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A01  </w:t>
      </w:r>
      <w:hyperlink r:id="rId23">
        <w:r>
          <w:rPr>
            <w:color w:val="245C80"/>
            <w:sz w:val="20"/>
            <w:rFonts w:ascii="Calibri" w:hAnsi="Calibri" w:eastAsia="Microsoft YaHei"/>
          </w:rPr>
          <w:t>ADS 当前产品需求基线 V1.1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当前产品方向权威；受控LLM、事实及人工权限、四类记忆、Guard和真实MVP验收。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A02  广告优化知识原始Word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ADS_Advertising_Optimization_Knowledge_Base_V1.docx，原件位于本机Downloads。已核对全文及SHA256，与A03记录一致。其引用的两本学习手册未作为直接原文逐项核验，不声称已合并手册全文。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SHA256  a95b267e648bcf15bbc39fd7fbc2ef891e3e237476513f5c38464aa9ee005603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A03  </w:t>
      </w:r>
      <w:hyperlink r:id="rId24">
        <w:r>
          <w:rPr>
            <w:color w:val="245C80"/>
            <w:sz w:val="20"/>
            <w:rFonts w:ascii="Calibri" w:hAnsi="Calibri" w:eastAsia="Microsoft YaHei"/>
          </w:rPr>
          <w:t>ADS 广告优化规则与验收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原知识的受控采用与解释，KB-001至012及KBA-01至14。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A04  </w:t>
      </w:r>
      <w:hyperlink r:id="rId25">
        <w:r>
          <w:rPr>
            <w:color w:val="245C80"/>
            <w:sz w:val="20"/>
            <w:rFonts w:ascii="Calibri" w:hAnsi="Calibri" w:eastAsia="Microsoft YaHei"/>
          </w:rPr>
          <w:t>Amazon PPC 广告优化决策需求 V2.0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原本地网页、数据、诊断、审核、Bulk、观察和备份需求；AI与操作记忆以A01后续口径为准。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A05  </w:t>
      </w:r>
      <w:hyperlink r:id="rId26">
        <w:r>
          <w:rPr>
            <w:color w:val="245C80"/>
            <w:sz w:val="20"/>
            <w:rFonts w:ascii="Calibri" w:hAnsi="Calibri" w:eastAsia="Microsoft YaHei"/>
          </w:rPr>
          <w:t>Amazon PPC 阶段化运营规则 V2.1 原始Word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原阶段策略、保护、SQP增强、观察及AT-01至15；数值为可配置模板。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A06  </w:t>
      </w:r>
      <w:hyperlink r:id="rId27">
        <w:r>
          <w:rPr>
            <w:color w:val="245C80"/>
            <w:sz w:val="20"/>
            <w:rFonts w:ascii="Calibri" w:hAnsi="Calibri" w:eastAsia="Microsoft YaHei"/>
          </w:rPr>
          <w:t>Amazon PPC 预算分配与重分配 V2.2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产品预算池、预算桶、Campaign预算、原子重分配、底线与必测场景。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A07  </w:t>
      </w:r>
      <w:hyperlink r:id="rId28">
        <w:r>
          <w:rPr>
            <w:color w:val="245C80"/>
            <w:sz w:val="20"/>
            <w:rFonts w:ascii="Calibri" w:hAnsi="Calibri" w:eastAsia="Microsoft YaHei"/>
          </w:rPr>
          <w:t>Amazon PPC 产品知识与搜索词相关性 V2.3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产品档案、意图、R0至R5与RX、商业有效性、否定及缺证边界。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A08  </w:t>
      </w:r>
      <w:hyperlink r:id="rId29">
        <w:r>
          <w:rPr>
            <w:color w:val="245C80"/>
            <w:sz w:val="20"/>
            <w:rFonts w:ascii="Calibri" w:hAnsi="Calibri" w:eastAsia="Microsoft YaHei"/>
          </w:rPr>
          <w:t>广告优化系统完整需求 V1.3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完整业务架构、搜索需求、Target构成、Campaign结构、增长、任务和实验。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A09  </w:t>
      </w:r>
      <w:hyperlink r:id="rId30">
        <w:r>
          <w:rPr>
            <w:color w:val="245C80"/>
            <w:sz w:val="20"/>
            <w:rFonts w:ascii="Calibri" w:hAnsi="Calibri" w:eastAsia="Microsoft YaHei"/>
          </w:rPr>
          <w:t>V1.3 实施映射与MVP边界 V1.0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限制V1.3一次性开发范围，保留底层复用与独立审核导出边界。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A10  </w:t>
      </w:r>
      <w:hyperlink r:id="rId31">
        <w:r>
          <w:rPr>
            <w:color w:val="245C80"/>
            <w:sz w:val="20"/>
            <w:rFonts w:ascii="Calibri" w:hAnsi="Calibri" w:eastAsia="Microsoft YaHei"/>
          </w:rPr>
          <w:t>案例原始报表导入与比较任务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前后CSV与Bulk报表导入、比较和案例关联的专项需求。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A11  </w:t>
      </w:r>
      <w:hyperlink r:id="rId32">
        <w:r>
          <w:rPr>
            <w:color w:val="245C80"/>
            <w:sz w:val="20"/>
            <w:rFonts w:ascii="Calibri" w:hAnsi="Calibri" w:eastAsia="Microsoft YaHei"/>
          </w:rPr>
          <w:t>案例工作流任务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统一案例的审核、人工操作及后续比较流程。</w:t>
      </w:r>
    </w:p>
    <w:p>
      <w:r>
        <w:br w:type="page"/>
      </w:r>
    </w:p>
    <w:p>
      <w:pPr>
        <w:pStyle w:val="Heading1"/>
      </w:pPr>
      <w:r>
        <w:t>原文索引 KWS与市场分析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K01  </w:t>
      </w:r>
      <w:hyperlink r:id="rId33">
        <w:r>
          <w:rPr>
            <w:color w:val="245C80"/>
            <w:sz w:val="20"/>
            <w:rFonts w:ascii="Calibri" w:hAnsi="Calibri" w:eastAsia="Microsoft YaHei"/>
          </w:rPr>
          <w:t>KWS 项目基线与最新最小闭环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关键词资产与MVP总基线；第65节记录最新当前可用闭环优先级。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K02  </w:t>
      </w:r>
      <w:hyperlink r:id="rId34">
        <w:r>
          <w:rPr>
            <w:color w:val="245C80"/>
            <w:sz w:val="20"/>
            <w:rFonts w:ascii="Calibri" w:hAnsi="Calibri" w:eastAsia="Microsoft YaHei"/>
          </w:rPr>
          <w:t>KWS 核心设计原则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商品事实、硬冲突、未知、市场与账户指标等核心原则。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K03  </w:t>
      </w:r>
      <w:hyperlink r:id="rId35">
        <w:r>
          <w:rPr>
            <w:color w:val="245C80"/>
            <w:sz w:val="20"/>
            <w:rFonts w:ascii="Calibri" w:hAnsi="Calibri" w:eastAsia="Microsoft YaHei"/>
          </w:rPr>
          <w:t>KWS 市场关键词研究需求 V1.0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MI1词池、概念需求结构、市场观察及后续趋势覆盖目标。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K04  </w:t>
      </w:r>
      <w:hyperlink r:id="rId36">
        <w:r>
          <w:rPr>
            <w:color w:val="245C80"/>
            <w:sz w:val="20"/>
            <w:rFonts w:ascii="Calibri" w:hAnsi="Calibri" w:eastAsia="Microsoft YaHei"/>
          </w:rPr>
          <w:t>KWS 真实业务验证协议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真实商品与词表、分层抽样、人工基准、错误类型和工作负担验证。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M01  </w:t>
      </w:r>
      <w:hyperlink r:id="rId37">
        <w:r>
          <w:rPr>
            <w:color w:val="245C80"/>
            <w:sz w:val="20"/>
            <w:rFonts w:ascii="Calibri" w:hAnsi="Calibri" w:eastAsia="Microsoft YaHei"/>
          </w:rPr>
          <w:t>市场分析 产品需求与核心架构 V0.2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商品需求认知、规范证据、真实竞品、市场机会、阶段用途和业务验收。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M02  </w:t>
      </w:r>
      <w:hyperlink r:id="rId38">
        <w:r>
          <w:rPr>
            <w:color w:val="245C80"/>
            <w:sz w:val="20"/>
            <w:rFonts w:ascii="Calibri" w:hAnsi="Calibri" w:eastAsia="Microsoft YaHei"/>
          </w:rPr>
          <w:t>市场报告参考模板需求 V0.1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原Excel参考模板的业务能力、完整报告、外部KWS融合及验收。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M03  </w:t>
      </w:r>
      <w:hyperlink r:id="rId39">
        <w:r>
          <w:rPr>
            <w:color w:val="245C80"/>
            <w:sz w:val="20"/>
            <w:rFonts w:ascii="Calibri" w:hAnsi="Calibri" w:eastAsia="Microsoft YaHei"/>
          </w:rPr>
          <w:t>市场报告 V0.2 合同设计 V0.1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版本化报告合同及与既有稳定报告的关系。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M04  </w:t>
      </w:r>
      <w:hyperlink r:id="rId40">
        <w:r>
          <w:rPr>
            <w:color w:val="245C80"/>
            <w:sz w:val="20"/>
            <w:rFonts w:ascii="Calibri" w:hAnsi="Calibri" w:eastAsia="Microsoft YaHei"/>
          </w:rPr>
          <w:t>运营市场报告 V0.3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中文运营报告、家族聚合、覆盖限制、15表及人工评审。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M05  </w:t>
      </w:r>
      <w:hyperlink r:id="rId41">
        <w:r>
          <w:rPr>
            <w:color w:val="245C80"/>
            <w:sz w:val="20"/>
            <w:rFonts w:ascii="Calibri" w:hAnsi="Calibri" w:eastAsia="Microsoft YaHei"/>
          </w:rPr>
          <w:t>市场分析与PDS工作流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已有市场结果与PDS的三类研究协作、版本和回执。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M06  </w:t>
      </w:r>
      <w:hyperlink r:id="rId42">
        <w:r>
          <w:rPr>
            <w:color w:val="245C80"/>
            <w:sz w:val="20"/>
            <w:rFonts w:ascii="Calibri" w:hAnsi="Calibri" w:eastAsia="Microsoft YaHei"/>
          </w:rPr>
          <w:t>市场新研究接收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新研究接收、身份来源、待分析状态与完成边界。</w:t>
      </w:r>
    </w:p>
    <w:p>
      <w:pPr>
        <w:pStyle w:val="Heading2"/>
      </w:pPr>
      <w:r>
        <w:t>取证范围与原文保留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本汇编直接核对上述仓库文件及五份经营知识原始Word，并保留ADS阶段规则Word。市场原Excel的能力采用仓库中已确认的参考需求，未在本轮重新逐单元格审计原工作簿。技术实现状态、测试结果、真实数据及历史交付不与需求混写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共同需求固定采用版本：7cefbc17cc78e6c1b89ef78bfea40effffad2693；四仓库本次保存版本分别为PDS 5d84e53b、ADS a5104819、KWS c9e7ceb0、市场88eb05cf。完整提交在每条原文链接中固定。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7"/>
      </w:rPr>
      <w:t xml:space="preserve">2026年10月15日  ·  </w:t>
    </w:r>
    <w:r/>
    <w:fldSimple w:instr="PAGE"/>
    <w:r>
      <w:rPr>
        <w:rFonts w:ascii="Calibri" w:hAnsi="Calibri" w:eastAsia="Microsoft YaHei"/>
        <w:color w:val="555555"/>
        <w:sz w:val="17"/>
      </w:rPr>
      <w:t xml:space="preserve"> /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color w:val="000000"/>
        <w:sz w:val="17"/>
      </w:rPr>
      <w:t>原始需求整合说明 第三册 KWS市场分析与验收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71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71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71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1" w:lineRule="auto"/>
      <w:contextualSpacing/>
    </w:pPr>
    <w:rPr>
      <w:rFonts w:asciiTheme="majorHAnsi" w:eastAsiaTheme="majorEastAsia" w:hAnsiTheme="majorHAnsi" w:cstheme="majorBidi" w:ascii="Calibri" w:hAnsi="Calibri" w:eastAsia="Microsoft YaHei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1" w:lineRule="auto"/>
    </w:pPr>
    <w:rPr>
      <w:rFonts w:asciiTheme="majorHAnsi" w:eastAsiaTheme="majorEastAsia" w:hAnsiTheme="majorHAnsi" w:cstheme="majorBidi" w:ascii="Calibri" w:hAnsi="Calibr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gulongya-code/daily_data_auto_entry/blob/5d84e53b1a5aab5acf93e5aee9b0db1810aa2723/docs/coordination/PDS_ADS_KWS_REQUIREMENTS_V1.md" TargetMode="External"/><Relationship Id="rId12" Type="http://schemas.openxmlformats.org/officeDocument/2006/relationships/hyperlink" Target="https://github.com/gulongya-code/daily_data_auto_entry/blob/5d84e53b1a5aab5acf93e5aee9b0db1810aa2723/docs/PRODUCT_STATE_DAILY_DECISION_ENGINE_V1.md" TargetMode="External"/><Relationship Id="rId13" Type="http://schemas.openxmlformats.org/officeDocument/2006/relationships/hyperlink" Target="https://github.com/gulongya-code/daily_data_auto_entry/blob/5d84e53b1a5aab5acf93e5aee9b0db1810aa2723/docs/pds/PDS_PRODUCT_DIRECTION_AND_MVP_BASELINE.md" TargetMode="External"/><Relationship Id="rId14" Type="http://schemas.openxmlformats.org/officeDocument/2006/relationships/hyperlink" Target="https://github.com/gulongya-code/daily_data_auto_entry/blob/5d84e53b1a5aab5acf93e5aee9b0db1810aa2723/docs/pds/TASK_PDS_ALL_PRODUCT_DAILY_MONITORING_MVP_REQUIREMENTS_AND_CODEX_ROADMAP.md" TargetMode="External"/><Relationship Id="rId15" Type="http://schemas.openxmlformats.org/officeDocument/2006/relationships/hyperlink" Target="https://github.com/gulongya-code/daily_data_auto_entry/blob/5d84e53b1a5aab5acf93e5aee9b0db1810aa2723/docs/pds/PDS_PRODUCT_OPERATING_POLICY_REQUIREMENTS_AND_ACCEPTANCE_V1.md" TargetMode="External"/><Relationship Id="rId16" Type="http://schemas.openxmlformats.org/officeDocument/2006/relationships/hyperlink" Target="https://github.com/gulongya-code/daily_data_auto_entry/blob/5d84e53b1a5aab5acf93e5aee9b0db1810aa2723/docs/pds/sources/product_operating_policy_v1/PDS_Product_Operating_Policy_Knowledge_Base_V1_Part1.docx" TargetMode="External"/><Relationship Id="rId17" Type="http://schemas.openxmlformats.org/officeDocument/2006/relationships/hyperlink" Target="https://github.com/gulongya-code/daily_data_auto_entry/blob/5d84e53b1a5aab5acf93e5aee9b0db1810aa2723/docs/pds/sources/product_operating_policy_v1/PDS_Product_Operating_Policy_Knowledge_Base_V1_Part2.docx" TargetMode="External"/><Relationship Id="rId18" Type="http://schemas.openxmlformats.org/officeDocument/2006/relationships/hyperlink" Target="https://github.com/gulongya-code/daily_data_auto_entry/blob/5d84e53b1a5aab5acf93e5aee9b0db1810aa2723/docs/pds/sources/product_operating_policy_v1/PDS_Product_Operating_Policy_Knowledge_Base_V1_Part3.docx" TargetMode="External"/><Relationship Id="rId19" Type="http://schemas.openxmlformats.org/officeDocument/2006/relationships/hyperlink" Target="https://github.com/gulongya-code/daily_data_auto_entry/blob/5d84e53b1a5aab5acf93e5aee9b0db1810aa2723/docs/pds/sources/product_operating_policy_v1/PDS_Product_Operating_Policy_Knowledge_Base_V1_Part4_Codex_Implementation_Mapping.docx" TargetMode="External"/><Relationship Id="rId20" Type="http://schemas.openxmlformats.org/officeDocument/2006/relationships/hyperlink" Target="https://github.com/gulongya-code/daily_data_auto_entry/blob/5d84e53b1a5aab5acf93e5aee9b0db1810aa2723/docs/pds/PDS_CUSTOMS_DOCUMENT_AUTOFILL_REQUIREMENTS_V0_1.md" TargetMode="External"/><Relationship Id="rId21" Type="http://schemas.openxmlformats.org/officeDocument/2006/relationships/hyperlink" Target="https://github.com/gulongya-code/daily_data_auto_entry/blob/5d84e53b1a5aab5acf93e5aee9b0db1810aa2723/docs/pds/PDS_ADS_DIAGNOSTIC_CAPABILITY_V1.md" TargetMode="External"/><Relationship Id="rId22" Type="http://schemas.openxmlformats.org/officeDocument/2006/relationships/hyperlink" Target="https://github.com/gulongya-code/daily_data_auto_entry/blob/5d84e53b1a5aab5acf93e5aee9b0db1810aa2723/docs/pds/PDS_MARKET_SELECTION_ROUTING_V1.md" TargetMode="External"/><Relationship Id="rId23" Type="http://schemas.openxmlformats.org/officeDocument/2006/relationships/hyperlink" Target="https://github.com/gulongya-code/amazon_ads_optimizer/blob/a51048199065968a04dff9c5520b10228eb81092/docs/requirements/Amazon_Ads_Optimizer_%E5%BD%93%E5%89%8D%E4%BA%A7%E5%93%81%E9%9C%80%E6%B1%82%E5%9F%BA%E7%BA%BF_V1.1.md" TargetMode="External"/><Relationship Id="rId24" Type="http://schemas.openxmlformats.org/officeDocument/2006/relationships/hyperlink" Target="https://github.com/gulongya-code/amazon_ads_optimizer/blob/a51048199065968a04dff9c5520b10228eb81092/docs/requirements/ADS_ADVERTISING_OPTIMIZATION_RULES_AND_ACCEPTANCE_V1.md" TargetMode="External"/><Relationship Id="rId25" Type="http://schemas.openxmlformats.org/officeDocument/2006/relationships/hyperlink" Target="https://github.com/gulongya-code/amazon_ads_optimizer/blob/a51048199065968a04dff9c5520b10228eb81092/docs/requirements/Amazon_PPC_%E5%B9%BF%E5%91%8A%E4%BC%98%E5%8C%96%E5%86%B3%E7%AD%96%E7%B3%BB%E7%BB%9F%E9%9C%80%E6%B1%82%E6%96%87%E6%A1%A3_V2.0_Codex%E7%89%88.md" TargetMode="External"/><Relationship Id="rId26" Type="http://schemas.openxmlformats.org/officeDocument/2006/relationships/hyperlink" Target="https://github.com/gulongya-code/amazon_ads_optimizer/blob/a51048199065968a04dff9c5520b10228eb81092/docs/requirements/Amazon_PPC_%E9%98%B6%E6%AE%B5%E5%8C%96%E8%BF%90%E8%90%A5%E5%86%B3%E7%AD%96%E8%A7%84%E5%88%99_V2.1.docx" TargetMode="External"/><Relationship Id="rId27" Type="http://schemas.openxmlformats.org/officeDocument/2006/relationships/hyperlink" Target="https://github.com/gulongya-code/amazon_ads_optimizer/blob/a51048199065968a04dff9c5520b10228eb81092/docs/requirements/Amazon_PPC_%E9%A2%84%E7%AE%97%E5%88%86%E9%85%8D%E4%B8%8E%E9%87%8D%E5%88%86%E9%85%8D%E8%A7%84%E5%88%99_V2.2.md" TargetMode="External"/><Relationship Id="rId28" Type="http://schemas.openxmlformats.org/officeDocument/2006/relationships/hyperlink" Target="https://github.com/gulongya-code/amazon_ads_optimizer/blob/a51048199065968a04dff9c5520b10228eb81092/docs/requirements/Amazon_PPC_%E4%BA%A7%E5%93%81%E7%9F%A5%E8%AF%86%E5%BA%93%E4%B8%8E%E6%90%9C%E7%B4%A2%E8%AF%8D%E7%9B%B8%E5%85%B3%E6%80%A7%E8%A7%84%E5%88%99_V2.3.md" TargetMode="External"/><Relationship Id="rId29" Type="http://schemas.openxmlformats.org/officeDocument/2006/relationships/hyperlink" Target="https://github.com/gulongya-code/amazon_ads_optimizer/blob/a51048199065968a04dff9c5520b10228eb81092/docs/requirements/amazon_ads_optimizer_v1_3/Amazon%E5%B9%BF%E5%91%8A%E4%BC%98%E5%8C%96%E7%B3%BB%E7%BB%9F%E6%AD%A3%E5%BC%8F%E9%9C%80%E6%B1%82%E6%96%87%E6%A1%A3_V1.3_%E6%A8%A1%E5%9D%97%E9%87%8D%E6%9E%84%E4%B8%8E%E5%A2%9E%E9%95%BF%E6%95%B4%E5%90%88%E7%89%88.md" TargetMode="External"/><Relationship Id="rId30" Type="http://schemas.openxmlformats.org/officeDocument/2006/relationships/hyperlink" Target="https://github.com/gulongya-code/amazon_ads_optimizer/blob/a51048199065968a04dff9c5520b10228eb81092/docs/requirements/amazon_ads_optimizer_v1_3/Amazon_Ads_Optimizer_V1.3_%E5%AE%9E%E6%96%BD%E6%98%A0%E5%B0%84%E4%B8%8EMVP%E8%BE%B9%E7%95%8C%E8%AF%B4%E6%98%8E_V1.0.md" TargetMode="External"/><Relationship Id="rId31" Type="http://schemas.openxmlformats.org/officeDocument/2006/relationships/hyperlink" Target="https://github.com/gulongya-code/amazon_ads_optimizer/blob/a51048199065968a04dff9c5520b10228eb81092/docs/plans/TASK-ADS-CASE-REPORT-COMPARE-001.md" TargetMode="External"/><Relationship Id="rId32" Type="http://schemas.openxmlformats.org/officeDocument/2006/relationships/hyperlink" Target="https://github.com/gulongya-code/amazon_ads_optimizer/blob/a51048199065968a04dff9c5520b10228eb81092/docs/plans/TASK-ADS-CASE-WORKFLOW-001.md" TargetMode="External"/><Relationship Id="rId33" Type="http://schemas.openxmlformats.org/officeDocument/2006/relationships/hyperlink" Target="https://github.com/gulongya-code/amazon_keyword_screener/blob/c9e7ceb0f59ec4db0c91843f89799a911d5cf2da/PROJECT_BASELINE.md" TargetMode="External"/><Relationship Id="rId34" Type="http://schemas.openxmlformats.org/officeDocument/2006/relationships/hyperlink" Target="https://github.com/gulongya-code/amazon_keyword_screener/blob/c9e7ceb0f59ec4db0c91843f89799a911d5cf2da/docs/kws/KWS_CORE_DESIGN_PRINCIPLES.md" TargetMode="External"/><Relationship Id="rId35" Type="http://schemas.openxmlformats.org/officeDocument/2006/relationships/hyperlink" Target="https://github.com/gulongya-code/amazon_keyword_screener/blob/c9e7ceb0f59ec4db0c91843f89799a911d5cf2da/docs/kws/KWS_MARKET_KEYWORD_INTELLIGENCE_REQUIREMENTS_V1_0.md" TargetMode="External"/><Relationship Id="rId36" Type="http://schemas.openxmlformats.org/officeDocument/2006/relationships/hyperlink" Target="https://github.com/gulongya-code/amazon_keyword_screener/blob/c9e7ceb0f59ec4db0c91843f89799a911d5cf2da/docs/kws/KWS_REAL_VALIDATION_PROTOCOL.md" TargetMode="External"/><Relationship Id="rId37" Type="http://schemas.openxmlformats.org/officeDocument/2006/relationships/hyperlink" Target="https://github.com/gulongya-code/amazon-product-development/blob/88eb05cfa34f30d5df9515192aff341ef44d3e4f/docs/requirements/%E4%BA%9A%E9%A9%AC%E9%80%8A%E6%99%BA%E8%83%BD%E9%80%89%E5%93%81%E7%B3%BB%E7%BB%9F_%E4%BA%A7%E5%93%81%E9%9C%80%E6%B1%82%E4%B8%8E%E6%A0%B8%E5%BF%83%E6%9E%B6%E6%9E%84%E8%AF%B4%E6%98%8E_V0.2.md" TargetMode="External"/><Relationship Id="rId38" Type="http://schemas.openxmlformats.org/officeDocument/2006/relationships/hyperlink" Target="https://github.com/gulongya-code/amazon-product-development/blob/88eb05cfa34f30d5df9515192aff341ef44d3e4f/docs/requirements/MARKET_REPORT_REFERENCE_TEMPLATE_REQUIREMENTS_V0.1.md" TargetMode="External"/><Relationship Id="rId39" Type="http://schemas.openxmlformats.org/officeDocument/2006/relationships/hyperlink" Target="https://github.com/gulongya-code/amazon-product-development/blob/88eb05cfa34f30d5df9515192aff341ef44d3e4f/docs/requirements/MARKET_REPORT_V0_2_CONTRACT_DESIGN_V0.1.md" TargetMode="External"/><Relationship Id="rId40" Type="http://schemas.openxmlformats.org/officeDocument/2006/relationships/hyperlink" Target="https://github.com/gulongya-code/amazon-product-development/blob/88eb05cfa34f30d5df9515192aff341ef44d3e4f/docs/requirements/OPERATOR_MARKET_REPORT_V0_3.md" TargetMode="External"/><Relationship Id="rId41" Type="http://schemas.openxmlformats.org/officeDocument/2006/relationships/hyperlink" Target="https://github.com/gulongya-code/amazon-product-development/blob/88eb05cfa34f30d5df9515192aff341ef44d3e4f/docs/market_pds_workflow_v1.md" TargetMode="External"/><Relationship Id="rId42" Type="http://schemas.openxmlformats.org/officeDocument/2006/relationships/hyperlink" Target="https://github.com/gulongya-code/amazon-product-development/blob/88eb05cfa34f30d5df9515192aff341ef44d3e4f/docs/market_new_research_intake_v1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原始需求整合说明 第三册 KWS市场分析与验收</dc:title>
  <dc:subject>2026年10月15日完整需求整合稿分册</dc:subject>
  <dc:creator>项目需求整理</dc:creator>
  <cp:keywords>PDS ADS KWS 市场分析 原始需求 验收 版本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