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color w:val="000000"/>
        </w:rPr>
        <w:t>原始需求整合说明 第二册</w:t>
      </w:r>
    </w:p>
    <w:p>
      <w:pPr>
        <w:pStyle w:val="Subtitle"/>
      </w:pPr>
      <w:r>
        <w:rPr>
          <w:rFonts w:ascii="Calibri" w:hAnsi="Calibri" w:eastAsia="Microsoft YaHei"/>
          <w:color w:val="000000"/>
        </w:rPr>
        <w:t>PDS报关与ADS广告</w:t>
      </w:r>
    </w:p>
    <w:p>
      <w:r>
        <w:rPr>
          <w:rFonts w:ascii="Calibri" w:hAnsi="Calibri" w:eastAsia="Microsoft YaHei"/>
          <w:color w:val="000000"/>
        </w:rPr>
        <w:t>整理日期  2026年10月15日</w:t>
      </w:r>
    </w:p>
    <w:p>
      <w:r>
        <w:rPr>
          <w:rFonts w:ascii="Calibri" w:hAnsi="Calibri" w:eastAsia="Microsoft YaHei"/>
          <w:color w:val="000000"/>
        </w:rPr>
        <w:t>本册包含PDS报关专项与ADS广告优化需求。共同职责及PDS经营见第一册；KWS、市场分析和跨项目修订验收汇总见第三册。</w:t>
      </w:r>
    </w:p>
    <w:p>
      <w:r>
        <w:rPr>
          <w:rFonts w:ascii="Calibri" w:hAnsi="Calibri" w:eastAsia="Microsoft YaHei"/>
          <w:color w:val="000000"/>
        </w:rPr>
        <w:t>按原整合稿完整拆分，不删减功能、条件或验收要求。正文采用最新确认口径，每册保留完整原文索引；原始完整版本与功能现状总览一并保存。本文不替代正式需求、权限记录或已有验收。</w:t>
      </w:r>
    </w:p>
    <w:p>
      <w:pPr>
        <w:pStyle w:val="Heading2"/>
      </w:pPr>
      <w:r>
        <w:t>四个项目的目标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业务目标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主要交付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 产品经营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从真实经营数据识别产品状态、风险、目标及今日优先事项，组织人工处理与复盘。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今日关注、产品经营卡、异常事件、专业任务及经营观察；另含报关资料工具。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 广告优化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在产品目标、利润、库存和预算约束内，诊断广告问题并形成受控建议。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诊断与动作候选、审核记录、人工操作记录、后续观察与复盘。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KWS 关键词研究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理解搜索需求与商品事实，筛选可用关键词并保留市场证据。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候选词、排除项、复核项、词池与需求结构、来源及补证清单。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市场分析 选品研究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理解市场需求与真实供给，分析竞争条件和可进一步验证的产品方向。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竞品集合、市场结构与报告、机会及风险、研究交接。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阅读约定</w:t>
      </w:r>
    </w:p>
    <w:p>
      <w:r>
        <w:rPr>
          <w:rFonts w:ascii="Calibri" w:hAnsi="Calibri" w:eastAsia="Microsoft YaHei"/>
          <w:color w:val="000000"/>
        </w:rPr>
        <w:t>“需求”不表示功能已完成。“最小范围”表示某版需求收敛的首批交付；“完整目标”保留后续能力；“条件项”仅在所需数据、授权或任务范围具备时适用。功能实现与待验收状态仍查阅另行交付的《四项目需求与功能现状总览》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开发暂停继续有效，现有日常运营按原配置保持。本次整理不启动开发、试验、外部业务操作或新的定时任务。</w:t>
      </w:r>
    </w:p>
    <w:p>
      <w:pPr>
        <w:pStyle w:val="Heading2"/>
      </w:pPr>
      <w:r>
        <w:t>阅读导航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PDS报关 2至4页　ADS广告 5至8页　完整原文索引 9至11页</w:t>
      </w:r>
    </w:p>
    <w:p>
      <w:r>
        <w:br w:type="page"/>
      </w:r>
    </w:p>
    <w:p>
      <w:pPr>
        <w:pStyle w:val="Heading1"/>
      </w:pPr>
      <w:r>
        <w:t>PDS 报关资料来源与核对</w:t>
      </w:r>
    </w:p>
    <w:p>
      <w:r>
        <w:rPr>
          <w:rFonts w:ascii="Calibri" w:hAnsi="Calibri" w:eastAsia="Microsoft YaHei"/>
          <w:color w:val="000000"/>
        </w:rPr>
        <w:t>该工具属于 PDS 的专项需求：从本次领星发货单读取商品、数量和包装资料，按管件与球阀整理，人工确认渠道、批次、公司与数据后生成订单导入及报关配套文件。</w:t>
      </w:r>
    </w:p>
    <w:p>
      <w:pPr>
        <w:pStyle w:val="Heading2"/>
      </w:pPr>
      <w:r>
        <w:t>最新来源规则</w:t>
      </w:r>
    </w:p>
    <w:p>
      <w:r>
        <w:rPr>
          <w:rFonts w:ascii="Calibri" w:hAnsi="Calibri" w:eastAsia="Microsoft YaHei"/>
          <w:b/>
          <w:color w:val="000000"/>
        </w:rPr>
        <w:t xml:space="preserve">发货单主入口  </w:t>
      </w:r>
      <w:r>
        <w:rPr>
          <w:rFonts w:ascii="Calibri" w:hAnsi="Calibri" w:eastAsia="Microsoft YaHei"/>
          <w:color w:val="000000"/>
        </w:rPr>
        <w:t>输入准确 SP 发货单号，明细决定本次范围和数量；关联计划、FBA 货件只用于准确关联及缺项补充。待发单不能写成已出库，计划总量、接收量和装箱估算不替代实际采用数量。</w:t>
      </w:r>
    </w:p>
    <w:p>
      <w:r>
        <w:rPr>
          <w:rFonts w:ascii="Calibri" w:hAnsi="Calibri" w:eastAsia="Microsoft YaHei"/>
          <w:b/>
          <w:color w:val="000000"/>
        </w:rPr>
        <w:t xml:space="preserve">批次与渠道  </w:t>
      </w:r>
      <w:r>
        <w:rPr>
          <w:rFonts w:ascii="Calibri" w:hAnsi="Calibri" w:eastAsia="Microsoft YaHei"/>
          <w:color w:val="000000"/>
        </w:rPr>
        <w:t>首期采用完整发货单人工归属；同渠道可人工选择多份合并，也可分别生成，不自动合并全部。保持 FBA 货件及来源行关联，防止同一实际发货重复采用；不能拆 SKU 或箱组绕过完整单据边界。</w:t>
      </w:r>
    </w:p>
    <w:p>
      <w:r>
        <w:rPr>
          <w:rFonts w:ascii="Calibri" w:hAnsi="Calibri" w:eastAsia="Microsoft YaHei"/>
          <w:b/>
          <w:color w:val="000000"/>
        </w:rPr>
        <w:t xml:space="preserve">逐字段诊断  </w:t>
      </w:r>
      <w:r>
        <w:rPr>
          <w:rFonts w:ascii="Calibri" w:hAnsi="Calibri" w:eastAsia="Microsoft YaHei"/>
          <w:color w:val="000000"/>
        </w:rPr>
        <w:t>区分接口失败、字段未返回、返回为空、零或无效、有效值及冲突。字段未返回应重读或查映射，不能说成产品未维护；只有明确缺失的成本、净重和标准箱规可本次补录，并填写依据及保留维护提醒。</w:t>
      </w:r>
    </w:p>
    <w:p>
      <w:r>
        <w:rPr>
          <w:rFonts w:ascii="Calibri" w:hAnsi="Calibri" w:eastAsia="Microsoft YaHei"/>
          <w:b/>
          <w:color w:val="000000"/>
        </w:rPr>
        <w:t xml:space="preserve">补录边界  </w:t>
      </w:r>
      <w:r>
        <w:rPr>
          <w:rFonts w:ascii="Calibri" w:hAnsi="Calibri" w:eastAsia="Microsoft YaHei"/>
          <w:color w:val="000000"/>
        </w:rPr>
        <w:t>不改商品身份和发货数量，不任意覆盖有效源值，不回写领星。刷新后源值变化必须复核旧补录；真实箱规、尾箱、混装及重量冲突需在本次核对。</w:t>
      </w:r>
    </w:p>
    <w:p>
      <w:pPr>
        <w:pStyle w:val="Heading2"/>
      </w:pPr>
      <w:r>
        <w:t>分类与商品档案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008"/>
        <w:gridCol w:w="5256"/>
        <w:gridCol w:w="3960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固定申报名称和编码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计量要求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管件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不锈钢管件</w:t>
              <w:br/>
              <w:t>STAINLESS STEEL PIPE FITTING</w:t>
              <w:br/>
              <w:t>7307290000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按采用净重千克计价，SKU 原始数量与规格仍保留。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球阀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不锈钢球阀</w:t>
              <w:br/>
              <w:t>STAINLESS STEEL BALL VALVE</w:t>
              <w:br/>
              <w:t>8481804090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按产品管理整体单位计套；2Pcs 包装不将套数乘二，净重另列。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按原始 product_name 自动识别明确品类；已有保存分类或批次覆盖优先，未知、配件、其他阀型和组合含糊进入人工核对。规格只提取明确尺寸。已确认默认材质为304、原产地温州、品牌初始“无”并在设置维护；原文含316等差异应保留并提示，不能把默认值当作实测事实。</w:t>
      </w:r>
    </w:p>
    <w:p>
      <w:pPr>
        <w:pStyle w:val="Heading2"/>
      </w:pPr>
      <w:r>
        <w:t>公司档案</w:t>
      </w:r>
    </w:p>
    <w:p>
      <w:r>
        <w:rPr>
          <w:rFonts w:ascii="Calibri" w:hAnsi="Calibri" w:eastAsia="Microsoft YaHei"/>
          <w:color w:val="000000"/>
        </w:rPr>
        <w:t>思凯勒与承拓嘉分别维护可复用公司档案，一个批次固定一个档案快照；企业名称、地址、海关及信用代码、报关企业、申报地、平台、电商、支付、境外收货人与生产销售角色各自保存。原模板空白保持空白；更换公司只替换企业字段，不改变商品、数量、渠道和历史文件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P06 C01至C31 及 C36；来源冲突以 C30 为准。来源编号对应文末索引。</w:t>
      </w:r>
    </w:p>
    <w:p>
      <w:r>
        <w:br w:type="page"/>
      </w:r>
    </w:p>
    <w:p>
      <w:pPr>
        <w:pStyle w:val="Heading1"/>
      </w:pPr>
      <w:r>
        <w:t>PDS 报关计算与文件一致性</w:t>
      </w:r>
    </w:p>
    <w:p>
      <w:pPr>
        <w:pStyle w:val="Heading2"/>
      </w:pPr>
      <w:r>
        <w:t>数量成本与真实装箱</w:t>
      </w:r>
    </w:p>
    <w:p>
      <w:r>
        <w:rPr>
          <w:rFonts w:ascii="Calibri" w:hAnsi="Calibri" w:eastAsia="Microsoft YaHei"/>
          <w:color w:val="000000"/>
        </w:rPr>
        <w:t>成本使用产品管理整体单位的含税人民币成本，不拆包装、不扣税。明细成本＝单位成本×本次实际采用数量；在最终兼容商品项内汇总后换算，不逐 SKU 提前舍入。内部 SKU 与 Amazon Seller SKU 不混用。</w:t>
      </w:r>
    </w:p>
    <w:p>
      <w:r>
        <w:rPr>
          <w:rFonts w:ascii="Calibri" w:hAnsi="Calibri" w:eastAsia="Microsoft YaHei"/>
          <w:color w:val="000000"/>
        </w:rPr>
        <w:t>实际箱数、箱内 SKU 分配、净重、毛重、箱尺寸和体积单独保存；尾箱不按满箱冒认，混装一箱只计一次，不平均分配未知重量。整箱毛重已含商品时不能再次加商品重量。计划 box_num 可作补充候选，箱数×满箱装数不能替代实际发货数量。</w:t>
      </w:r>
    </w:p>
    <w:p>
      <w:pPr>
        <w:pStyle w:val="Heading2"/>
      </w:pPr>
      <w:r>
        <w:t>共同计价公式</w:t>
      </w:r>
    </w:p>
    <w:p>
      <w:r>
        <w:rPr>
          <w:rFonts w:ascii="Calibri" w:hAnsi="Calibri" w:eastAsia="Microsoft YaHei"/>
          <w:color w:val="000000"/>
        </w:rPr>
        <w:t>未舍入美元成本折算额＝汇总含税人民币成本×1.2÷6.7。1.2 与6.7是用户指定固定参数，不作实时汇率或法规解释。阀门按整体套数计价，单价最多两位，商品项总额按现行两位金额规则校验。</w:t>
      </w:r>
    </w:p>
    <w:p>
      <w:pPr>
        <w:pStyle w:val="Heading2"/>
      </w:pPr>
      <w:r>
        <w:t>管件现行有界筛选规则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约束或步骤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允许数量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采用净重与原始净重偏差不超过±2 kg，含边界；按0.01 kg网格查找。净重和单价必须为正。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价格与金额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单价最多两位小数；总价必须等于采用净重×单价的直接乘积，且为整数、不低于未舍入成本折算额。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确定性选择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先使总金额与成本折算额的正差最小；相同时选净重偏差较小者；再相同选较小采用净重。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禁止回退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不先取整成本目标，不对最终乘积取整，不增加价格小数位，不扩大±2 kg，不以低于成本的组合凑数。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人工核对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展示原始与采用净重、单价、金额及差额；采用净重超过实际毛重须核对，不能改毛重通过检查。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汇总与输出</w:t>
      </w:r>
    </w:p>
    <w:p>
      <w:r>
        <w:rPr>
          <w:rFonts w:ascii="Calibri" w:hAnsi="Calibri" w:eastAsia="Microsoft YaHei"/>
          <w:color w:val="000000"/>
        </w:rPr>
        <w:t>同类 SKU 按税号、材质、原产地、品牌等兼容属性汇总，规格不同不再强制拆行，全部规格去重列出并保留 SKU 对照。混合批次固定管件第1项、阀门第2项；同类关键属性冲突不能悄悄生成第三项，应核对统一或另批处理。</w:t>
      </w:r>
    </w:p>
    <w:p>
      <w:r>
        <w:rPr>
          <w:rFonts w:ascii="Calibri" w:hAnsi="Calibri" w:eastAsia="Microsoft YaHei"/>
          <w:color w:val="000000"/>
        </w:rPr>
        <w:t>发票、合同、订单导入和报关商品项使用同一采用数量和金额；报关表头净重为申报商品项净重合计。实际装箱单保持真实箱组净重、毛重和箱数。规则或来源改变使旧确认失效，重新确认后才生成，历史文件不改写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P06 C12至C18 C35 第7至9节；C35 覆盖较早舍入和拆项规则。来源编号对应文末索引。</w:t>
      </w:r>
    </w:p>
    <w:p>
      <w:r>
        <w:br w:type="page"/>
      </w:r>
    </w:p>
    <w:p>
      <w:pPr>
        <w:pStyle w:val="Heading1"/>
      </w:pPr>
      <w:r>
        <w:t>PDS 报关交付与验收</w:t>
      </w:r>
    </w:p>
    <w:p>
      <w:pPr>
        <w:pStyle w:val="Heading2"/>
      </w:pPr>
      <w:r>
        <w:t>目标文件</w:t>
      </w:r>
    </w:p>
    <w:p>
      <w:r>
        <w:rPr>
          <w:rFonts w:ascii="Calibri" w:hAnsi="Calibri" w:eastAsia="Microsoft YaHei"/>
          <w:color w:val="000000"/>
        </w:rPr>
        <w:t>每个已确认批次生成订单导入工作簿，以及含 invoice、packing list、申报要素、报关单和 SALES CONTRACT 的资料工作簿。复用原模板映射、样式、合并单元格和打印设置；新增明细与页脚必须正确。任一配套生成失败或公司信息不一致，不标整批成功。文件生成不包括外部上传或实际申报。</w:t>
      </w:r>
    </w:p>
    <w:p>
      <w:pPr>
        <w:pStyle w:val="Heading2"/>
      </w:pPr>
      <w:r>
        <w:t>三种交付形态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形态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原需求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独立网站版</w:t>
              <w:br/>
              <w:t>C32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白名单打包必要页面、接口、业务模块和清理填写值的模板。每实例独立配置与资料，用接收方自己的领星凭据；登录、HTTPS和准确来源检查覆盖页面、操作与下载。一个团队共享实例，不扩展多租户或通用嵌入平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Windows版</w:t>
              <w:br/>
              <w:t>C33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Windows10/11 x64，安装包内置Python、依赖和模板；用户无需另装Python、Node或Excel。当前用户安装、快捷方式、浏览器首次配置；仅本机监听、短期启动链接和会话。程序与资料分离，重装升级保留设置和历史，不默认开机启动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源码包</w:t>
              <w:br/>
              <w:t>C34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与对应实际构建版本一致，含文件哈希、来源、运行、重建和接口说明。独立解压可运行，无原账号、公司资料和真实业务数据。提供源码不等于已完成其他工具的认证、路径、下载及数据隔离集成。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r>
        <w:rPr>
          <w:rFonts w:ascii="Calibri" w:hAnsi="Calibri" w:eastAsia="Microsoft YaHei"/>
          <w:color w:val="000000"/>
        </w:rPr>
        <w:t>密钥不回显、不随包复制；公司档案和模板可配置。新模板只接受现有格式映射与校验，不要求自动理解任意表格。保存连接配置、离线校验和真实账号 API 连通是三种不同结果。</w:t>
      </w:r>
    </w:p>
    <w:p>
      <w:pPr>
        <w:pStyle w:val="Heading2"/>
      </w:pPr>
      <w:r>
        <w:t>验收场景</w:t>
      </w:r>
    </w:p>
    <w:p>
      <w:r>
        <w:rPr>
          <w:rFonts w:ascii="Calibri" w:hAnsi="Calibri" w:eastAsia="Microsoft YaHei"/>
          <w:b/>
          <w:color w:val="000000"/>
        </w:rPr>
        <w:t xml:space="preserve">业务计算  </w:t>
      </w:r>
      <w:r>
        <w:rPr>
          <w:rFonts w:ascii="Calibri" w:hAnsi="Calibri" w:eastAsia="Microsoft YaHei"/>
          <w:color w:val="000000"/>
        </w:rPr>
        <w:t>完整发货单、单品类与混合批次、同渠道合并、跨渠道分开、重复来源拦截、尾箱混装、字段未返回与内容缺失、成本与单位冲突、两家公司切换均有可核对样本。</w:t>
      </w:r>
    </w:p>
    <w:p>
      <w:r>
        <w:rPr>
          <w:rFonts w:ascii="Calibri" w:hAnsi="Calibri" w:eastAsia="Microsoft YaHei"/>
          <w:b/>
          <w:color w:val="000000"/>
        </w:rPr>
        <w:t xml:space="preserve">文件核对  </w:t>
      </w:r>
      <w:r>
        <w:rPr>
          <w:rFonts w:ascii="Calibri" w:hAnsi="Calibri" w:eastAsia="Microsoft YaHei"/>
          <w:color w:val="000000"/>
        </w:rPr>
        <w:t>验证九个管件 SKU 合一项、多阀门合一项、管件1阀门2、价格精度及整数乘积、实际包装不变、全部资料一致、历史版本有效。</w:t>
      </w:r>
    </w:p>
    <w:p>
      <w:r>
        <w:rPr>
          <w:rFonts w:ascii="Calibri" w:hAnsi="Calibri" w:eastAsia="Microsoft YaHei"/>
          <w:b/>
          <w:color w:val="000000"/>
        </w:rPr>
        <w:t xml:space="preserve">交付核对  </w:t>
      </w:r>
      <w:r>
        <w:rPr>
          <w:rFonts w:ascii="Calibri" w:hAnsi="Calibri" w:eastAsia="Microsoft YaHei"/>
          <w:color w:val="000000"/>
        </w:rPr>
        <w:t>网站验证初始化、登录、生成下载与重启；桌面验证实际 EXE、快捷方式、首次配置、会话及重装保留；源码验证构建对应及独立启动。干净机器、新账号及正式接收方验收分开记录。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后续用户已要求先暂停新版安装包与源码交付，待计价规则核对后再安排。完整交付需求保留，但本次整合不制作或发布新版安装包。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P06 C32至C36 第9至18节。来源编号对应文末索引。</w:t>
      </w:r>
    </w:p>
    <w:p>
      <w:r>
        <w:br w:type="page"/>
      </w:r>
    </w:p>
    <w:p>
      <w:pPr>
        <w:pStyle w:val="Heading1"/>
      </w:pPr>
      <w:r>
        <w:t>ADS 数据基础与诊断流程</w:t>
      </w:r>
    </w:p>
    <w:p>
      <w:r>
        <w:rPr>
          <w:rFonts w:ascii="Calibri" w:hAnsi="Calibri" w:eastAsia="Microsoft YaHei"/>
          <w:color w:val="000000"/>
        </w:rPr>
        <w:t>ADS 的当前方向是受控模型建议加决策、操作和结果记忆。最小业务场景为一个真实 SKU、一个站点、约1至5个 Sponsored Products Campaign，在本地完成只读分析、人工审核、人工执行及后续观察。</w:t>
      </w:r>
    </w:p>
    <w:p>
      <w:pPr>
        <w:pStyle w:val="Heading2"/>
      </w:pPr>
      <w:r>
        <w:t>数据来源与身份</w:t>
      </w:r>
    </w:p>
    <w:p>
      <w:r>
        <w:rPr>
          <w:rFonts w:ascii="Calibri" w:hAnsi="Calibri" w:eastAsia="Microsoft YaHei"/>
          <w:b/>
          <w:color w:val="000000"/>
        </w:rPr>
        <w:t xml:space="preserve">基础资料  </w:t>
      </w:r>
      <w:r>
        <w:rPr>
          <w:rFonts w:ascii="Calibri" w:hAnsi="Calibri" w:eastAsia="Microsoft YaHei"/>
          <w:color w:val="000000"/>
        </w:rPr>
        <w:t>既有 Bulk 路线读取对象 ID、层级、当前 Bid、预算、状态和 Placement；广告报表提供曝光、点击、花费、购买或订单、销售等事实。经营、利润、库存、SQP、排名和产品知识按实际可得增强。</w:t>
      </w:r>
    </w:p>
    <w:p>
      <w:r>
        <w:rPr>
          <w:rFonts w:ascii="Calibri" w:hAnsi="Calibri" w:eastAsia="Microsoft YaHei"/>
          <w:b/>
          <w:color w:val="000000"/>
        </w:rPr>
        <w:t xml:space="preserve">导入校验  </w:t>
      </w:r>
      <w:r>
        <w:rPr>
          <w:rFonts w:ascii="Calibri" w:hAnsi="Calibri" w:eastAsia="Microsoft YaHei"/>
          <w:color w:val="000000"/>
        </w:rPr>
        <w:t>识别店铺、站点、文件类型、模板、日期范围、币种、归因与粒度；保存原文件、标准值、字段映射版本及来源。精确 ID 优先，对象名称不能无条件当身份，未知 Bid 不能填零或用 CPC 反推。</w:t>
      </w:r>
    </w:p>
    <w:p>
      <w:r>
        <w:rPr>
          <w:rFonts w:ascii="Calibri" w:hAnsi="Calibri" w:eastAsia="Microsoft YaHei"/>
          <w:b/>
          <w:color w:val="000000"/>
        </w:rPr>
        <w:t xml:space="preserve">指标语义  </w:t>
      </w:r>
      <w:r>
        <w:rPr>
          <w:rFonts w:ascii="Calibri" w:hAnsi="Calibri" w:eastAsia="Microsoft YaHei"/>
          <w:color w:val="000000"/>
        </w:rPr>
        <w:t>明确 purchases、orders、units、购买率与转化概率的差异；外部 CVR/CPC 只在其来源语义内引用。利润和 TACOS 依赖经营资料，缺失时限制这些结论，保留独立成立的广告分析。</w:t>
      </w:r>
    </w:p>
    <w:p>
      <w:pPr>
        <w:pStyle w:val="Heading2"/>
      </w:pPr>
      <w:r>
        <w:t>主链路</w:t>
      </w:r>
    </w:p>
    <w:p>
      <w:r>
        <w:rPr>
          <w:rFonts w:ascii="Calibri" w:hAnsi="Calibri" w:eastAsia="Microsoft YaHei"/>
          <w:color w:val="000000"/>
        </w:rPr>
        <w:t>报表与产品上下文 → 清洗和语义核对 → 对象映射 → 有界证据包 → 诊断及候选 → 确定性校验 → 人工审核 → 实际操作登记 → 后续可比数据 → 结果与复盘。原确定性结果作为可复用依据、对照或回退参考保留。</w:t>
      </w:r>
    </w:p>
    <w:p>
      <w:pPr>
        <w:pStyle w:val="Heading2"/>
      </w:pPr>
      <w:r>
        <w:t>诊断要回答的问题</w:t>
      </w:r>
    </w:p>
    <w:p>
      <w:r>
        <w:rPr>
          <w:rFonts w:ascii="Calibri" w:hAnsi="Calibri" w:eastAsia="Microsoft YaHei"/>
          <w:color w:val="000000"/>
        </w:rPr>
        <w:t>先处理什么问题，为什么；为什么没有选择其他动作；哪些对象应保护；缺少什么；需要人工判断什么；本轮采取了什么；后续发生了什么。允许明确建议保持不动或补证。</w:t>
      </w:r>
    </w:p>
    <w:p>
      <w:r>
        <w:rPr>
          <w:rFonts w:ascii="Calibri" w:hAnsi="Calibri" w:eastAsia="Microsoft YaHei"/>
          <w:b/>
          <w:color w:val="000000"/>
        </w:rPr>
        <w:t xml:space="preserve">前置检查  </w:t>
      </w:r>
      <w:r>
        <w:rPr>
          <w:rFonts w:ascii="Calibri" w:hAnsi="Calibri" w:eastAsia="Microsoft YaHei"/>
          <w:color w:val="000000"/>
        </w:rPr>
        <w:t>阶段、目标、Listing、Featured Offer、价格优惠、库存、补货周期、贡献利润、盈亏平衡 ACOS 和目标 ACOS。不是要求十项全齐才开始，缺项只阻断依赖它的动作。</w:t>
      </w:r>
    </w:p>
    <w:p>
      <w:r>
        <w:rPr>
          <w:rFonts w:ascii="Calibri" w:hAnsi="Calibri" w:eastAsia="Microsoft YaHei"/>
          <w:b/>
          <w:color w:val="000000"/>
        </w:rPr>
        <w:t xml:space="preserve">诊断顺序  </w:t>
      </w:r>
      <w:r>
        <w:rPr>
          <w:rFonts w:ascii="Calibri" w:hAnsi="Calibri" w:eastAsia="Microsoft YaHei"/>
          <w:color w:val="000000"/>
        </w:rPr>
        <w:t>数据质量 → 商品状态 → 经营目标 → Campaign → Target → Search Term → Placement → 组合判断。具体任务可以有界分析，不能只凭“曝光低”“ACOS高”或“无订单”直接动作。</w:t>
      </w:r>
    </w:p>
    <w:p>
      <w:r>
        <w:rPr>
          <w:rFonts w:ascii="Calibri" w:hAnsi="Calibri" w:eastAsia="Microsoft YaHei"/>
          <w:b/>
          <w:color w:val="000000"/>
        </w:rPr>
        <w:t xml:space="preserve">流量质量  </w:t>
      </w:r>
      <w:r>
        <w:rPr>
          <w:rFonts w:ascii="Calibri" w:hAnsi="Calibri" w:eastAsia="Microsoft YaHei"/>
          <w:color w:val="000000"/>
        </w:rPr>
        <w:t>先对齐来源和窗口，再看触发构成、匹配、表现、可归属广告位、样本、促销价格及订单结构变化，最终给出支持、反证和未知。构成变化本身不证明因果。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A01 PR-SYS 与 PR-MVP；A03 KB-001至KB-006；A04；S01。来源编号对应文末索引。</w:t>
      </w:r>
    </w:p>
    <w:p>
      <w:r>
        <w:br w:type="page"/>
      </w:r>
    </w:p>
    <w:p>
      <w:pPr>
        <w:pStyle w:val="Heading1"/>
      </w:pPr>
      <w:r>
        <w:t>ADS 广告动作与保护规则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296"/>
        <w:gridCol w:w="4392"/>
        <w:gridCol w:w="4536"/>
      </w:tblGrid>
      <w:tr>
        <w:trPr>
          <w:cantSplit/>
          <w:tblHeader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动作领域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形成候选所需依据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必须保留的限制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出价增加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高相关、转化证据成熟、经济空间、可获得的曝光机会及库存承接；当前Bid可确认。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低曝光不必然是Bid低；应比较保持不动及有预算期限的小步验证，不能连续机械加价。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出价降低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成熟窗口持续经济性不足，CPC是主要问题，已检查Listing和商品异常。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保护核心、历史转化和人工标记对象；高相关高成本不能被当成无关词。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预算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成熟优质流量受到预算限制，边际回报有依据，库存和产品预算池允许。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花完预算不等于损失优质机会；历史平均回报不等于新增花费的边际回报。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广告位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对TOS、ROS、Product Pages的覆盖、表现、当前设置、归属与可比窗口进行检查。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Campaign混投不能强行归到一个SKU或词；联动基础Bid，不仅因过去好就增加。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否定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相关性 → 成熟度 → 经济性 → 误伤范围 → 白名单与例外。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无订单不是单独理由；未知不等于冲突；优先精确范围，不将SKU结论扩为全Campaign。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阶段和流量用途</w:t>
      </w:r>
    </w:p>
    <w:p>
      <w:r>
        <w:rPr>
          <w:rFonts w:ascii="Calibri" w:hAnsi="Calibri" w:eastAsia="Microsoft YaHei"/>
          <w:color w:val="000000"/>
        </w:rPr>
        <w:t>测试期验证需求，增长期放大已验证流量，成熟期重利润与防守，清仓期重库存回收。探索、验证、放大、防守、增量及品牌再营销是用途维度，可并存；提及品牌再营销不扩大当前 SP 实施范围。</w:t>
      </w:r>
    </w:p>
    <w:p>
      <w:r>
        <w:rPr>
          <w:rFonts w:ascii="Calibri" w:hAnsi="Calibri" w:eastAsia="Microsoft YaHei"/>
          <w:color w:val="000000"/>
        </w:rPr>
        <w:t>搜索词的未知、高相关低样本、潜力、已验证优质、高相关高成本、成熟低价值及冲突流量描述不同判断维度，不能强制按一条生命周期顺序流转。意图、语义相关性、商业有效性和广告动作分别表达。</w:t>
      </w:r>
    </w:p>
    <w:p>
      <w:pPr>
        <w:pStyle w:val="Heading2"/>
      </w:pPr>
      <w:r>
        <w:t>产品知识与语义安全</w:t>
      </w:r>
    </w:p>
    <w:p>
      <w:r>
        <w:rPr>
          <w:rFonts w:ascii="Calibri" w:hAnsi="Calibri" w:eastAsia="Microsoft YaHei"/>
          <w:color w:val="000000"/>
        </w:rPr>
        <w:t>产品事实有版本和来源，人工确认及可信资料优先；AI抽取默认候选。硬冲突须有明确事实，未知属性不默认匹配或冲突。属性可替代差异、有订单的冲突词、品牌词、竞品词和配件意图需单独复核；订单不能改写物理规格。</w:t>
      </w:r>
    </w:p>
    <w:p>
      <w:r>
        <w:rPr>
          <w:rFonts w:ascii="Calibri" w:hAnsi="Calibri" w:eastAsia="Microsoft YaHei"/>
          <w:color w:val="000000"/>
        </w:rPr>
        <w:t>词组否定需要证明合理组合均不适用并检查例外短语；批量处理显示受影响搜索词、历史订单、花费、保护对象和数据不足数量。当前广告语义优先消费 KWS 的合法结果，保持 ADS 最终决策责任。</w:t>
      </w:r>
    </w:p>
    <w:p>
      <w:pPr>
        <w:pStyle w:val="Heading2"/>
      </w:pPr>
      <w:r>
        <w:t>输出九项</w:t>
      </w:r>
    </w:p>
    <w:p>
      <w:r>
        <w:rPr>
          <w:rFonts w:ascii="Calibri" w:hAnsi="Calibri" w:eastAsia="Microsoft YaHei"/>
          <w:color w:val="000000"/>
        </w:rPr>
        <w:t>发现、证据、影响对象、可能原因、建议动作、预期影响、风险、置信度及人工审核要求。预期影响应说明条件与未知，不编造精确收益、概率、金额或参数。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A02；A03 KB-007至KB-012；A05；A07。来源编号对应文末索引。</w:t>
      </w:r>
    </w:p>
    <w:p>
      <w:r>
        <w:br w:type="page"/>
      </w:r>
    </w:p>
    <w:p>
      <w:pPr>
        <w:pStyle w:val="Heading1"/>
      </w:pPr>
      <w:r>
        <w:t>ADS 预算结构与增长完整目标</w:t>
      </w:r>
    </w:p>
    <w:p>
      <w:r>
        <w:rPr>
          <w:rFonts w:ascii="Calibri" w:hAnsi="Calibri" w:eastAsia="Microsoft YaHei"/>
          <w:color w:val="000000"/>
        </w:rPr>
        <w:t>本页保留 V2.2 与 V1.3 的完整业务目标，不将其全部转为当前最小任务。具体阈值、步长、权重和期限属于版本化配置或原文示例，必须结合证据和人工边界采用。</w:t>
      </w:r>
    </w:p>
    <w:p>
      <w:pPr>
        <w:pStyle w:val="Heading2"/>
      </w:pPr>
      <w:r>
        <w:t>预算分配与成组重分配</w:t>
      </w:r>
    </w:p>
    <w:p>
      <w:r>
        <w:rPr>
          <w:rFonts w:ascii="Calibri" w:hAnsi="Calibri" w:eastAsia="Microsoft YaHei"/>
          <w:b/>
          <w:color w:val="000000"/>
        </w:rPr>
        <w:t xml:space="preserve">三层预算  </w:t>
      </w:r>
      <w:r>
        <w:rPr>
          <w:rFonts w:ascii="Calibri" w:hAnsi="Calibri" w:eastAsia="Microsoft YaHei"/>
          <w:color w:val="000000"/>
        </w:rPr>
        <w:t>产品 BudgetEnvelope 保存周期上限、日上限、累计花费与亏损、剩余额度和人工确认；再按目标形成预算桶，最后分配 Campaign 日预算。系统建议不能自动覆盖人工总额度。</w:t>
      </w:r>
    </w:p>
    <w:p>
      <w:r>
        <w:rPr>
          <w:rFonts w:ascii="Calibri" w:hAnsi="Calibri" w:eastAsia="Microsoft YaHei"/>
          <w:b/>
          <w:color w:val="000000"/>
        </w:rPr>
        <w:t xml:space="preserve">接收和转出  </w:t>
      </w:r>
      <w:r>
        <w:rPr>
          <w:rFonts w:ascii="Calibri" w:hAnsi="Calibri" w:eastAsia="Microsoft YaHei"/>
          <w:color w:val="000000"/>
        </w:rPr>
        <w:t>接收方需有成熟有效流量及真实约束；转出方需确实消耗且成熟低效，并检查防守、探索底线与内部优质对象。未花满预算的名义减少不能当成已释放同额真实花费。</w:t>
      </w:r>
    </w:p>
    <w:p>
      <w:r>
        <w:rPr>
          <w:rFonts w:ascii="Calibri" w:hAnsi="Calibri" w:eastAsia="Microsoft YaHei"/>
          <w:b/>
          <w:color w:val="000000"/>
        </w:rPr>
        <w:t xml:space="preserve">组合原子性  </w:t>
      </w:r>
      <w:r>
        <w:rPr>
          <w:rFonts w:ascii="Calibri" w:hAnsi="Calibri" w:eastAsia="Microsoft YaHei"/>
          <w:color w:val="000000"/>
        </w:rPr>
        <w:t>BudgetChangeSet 同时列出转出与接收对象、名义变化、预计真实释放、净变化、观察与回退。无新增额度时净预算变化默认零；任一必要成员阻断或当前值变更使整组失效，不可只执行一边。</w:t>
      </w:r>
    </w:p>
    <w:p>
      <w:r>
        <w:rPr>
          <w:rFonts w:ascii="Calibri" w:hAnsi="Calibri" w:eastAsia="Microsoft YaHei"/>
          <w:b/>
          <w:color w:val="000000"/>
        </w:rPr>
        <w:t xml:space="preserve">并发调整  </w:t>
      </w:r>
      <w:r>
        <w:rPr>
          <w:rFonts w:ascii="Calibri" w:hAnsi="Calibri" w:eastAsia="Microsoft YaHei"/>
          <w:color w:val="000000"/>
        </w:rPr>
        <w:t>同一观察窗内增加预算、Bid和Placement应视为冲突或单独受控试验，优先只变主要变量；已有调整未完成观察时避免重复动作。</w:t>
      </w:r>
    </w:p>
    <w:p>
      <w:pPr>
        <w:pStyle w:val="Heading2"/>
      </w:pPr>
      <w:r>
        <w:t>搜索需求与投放入口</w:t>
      </w:r>
    </w:p>
    <w:p>
      <w:r>
        <w:rPr>
          <w:rFonts w:ascii="Calibri" w:hAnsi="Calibri" w:eastAsia="Microsoft YaHei"/>
          <w:color w:val="000000"/>
        </w:rPr>
        <w:t>Search Term 表示买家需求，Target/Keyword 是控制入口，Campaign 控制共享预算、广告位和竞价策略。成熟度同时考虑转化机会与花费风险；若使用预期 CVR，必须有合法语义、来源、回退、平滑和低置信度标记。</w:t>
      </w:r>
    </w:p>
    <w:p>
      <w:r>
        <w:rPr>
          <w:rFonts w:ascii="Calibri" w:hAnsi="Calibri" w:eastAsia="Microsoft YaHei"/>
          <w:color w:val="000000"/>
        </w:rPr>
        <w:t>Target 分析内部流量构成、赢家集中度、浪费及清理后情景；整体表现好但依赖少数赢家时不盲目提高整个入口。Owner Target 迁移先建立精准入口并确认承接，再渐进处理重复高成本入口，最后评估原入口否定。</w:t>
      </w:r>
    </w:p>
    <w:p>
      <w:pPr>
        <w:pStyle w:val="Heading2"/>
      </w:pPr>
      <w:r>
        <w:t>Campaign与增长规划</w:t>
      </w:r>
    </w:p>
    <w:p>
      <w:r>
        <w:rPr>
          <w:rFonts w:ascii="Calibri" w:hAnsi="Calibri" w:eastAsia="Microsoft YaHei"/>
          <w:color w:val="000000"/>
        </w:rPr>
        <w:t>结构分共享探索L1、相近目标分组L2、单目标严格控制L3。只有预算、Placement、竞价或数据隔离确有不兼容时才升级拆分，不因关键词重要就一词一Campaign；必要时也允许降级合并建议。</w:t>
      </w:r>
    </w:p>
    <w:p>
      <w:r>
        <w:rPr>
          <w:rFonts w:ascii="Calibri" w:hAnsi="Calibri" w:eastAsia="Microsoft YaHei"/>
          <w:color w:val="000000"/>
        </w:rPr>
        <w:t>增长中心复用上游结论，比较订单、销售额、利润、自然排名、搜索份额、新需求和成熟位置防守。SQP仅作可选增强；Owner ASIN综合匹配、承接、经济性、库存及战略，避免多变体无边界争抢。增长、验证和防守预算分开。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边际ACOS、TACOS、订单成本与贡献利润只在可比增量和合法分母下计算。区分可能真实增量、入口迁移、自然订单替代风险及无法判断，不能宣称严格因果；完整结构、SQP增长中心与复杂实验平台保留后续范围。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A06；A08；A09。来源编号对应文末索引。</w:t>
      </w:r>
    </w:p>
    <w:p>
      <w:r>
        <w:br w:type="page"/>
      </w:r>
    </w:p>
    <w:p>
      <w:pPr>
        <w:pStyle w:val="Heading1"/>
      </w:pPr>
      <w:r>
        <w:t>ADS 审核操作与结果复盘</w:t>
      </w:r>
    </w:p>
    <w:p>
      <w:pPr>
        <w:pStyle w:val="Heading2"/>
      </w:pPr>
      <w:r>
        <w:t>受控模型与校验</w:t>
      </w:r>
    </w:p>
    <w:p>
      <w:r>
        <w:rPr>
          <w:rFonts w:ascii="Calibri" w:hAnsi="Calibri" w:eastAsia="Microsoft YaHei"/>
          <w:color w:val="000000"/>
        </w:rPr>
        <w:t>输入限定为有效结构化证据、产品知识、广告对象及缺项标记，不提供不受限仓库、秘密或无关文件访问。输出必须为结构化、仅供审核、non_executable 的候选。程序校验结构、精确身份、当前证据引用、数字、缺项、保护对象、新鲜度及执行语义；无效结果拒绝或降级。</w:t>
      </w:r>
    </w:p>
    <w:p>
      <w:pPr>
        <w:pStyle w:val="Heading2"/>
      </w:pPr>
      <w:r>
        <w:t>四类独立记录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记录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最小内容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建议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证据及引用、诊断、候选、步骤顺序、为何选此方案及未选其他方案、保护项、缺口、版本和模型身份。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人工审核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接受为参考、拒绝、延后、修改或未审核，备注和时间；绑定精确建议及新鲜度，不作为执行记录。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实际操作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真实对象、操作时间、人工执行方式、前后参数、来源建议及实际差异；未操作则如实保留。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结果观察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实际操作关联的后续窗口与可用Spend、Sales、Clicks、CPC、CVR、ACOS等事实变化、不可比项和干扰。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r>
        <w:rPr>
          <w:rFonts w:ascii="Calibri" w:hAnsi="Calibri" w:eastAsia="Microsoft YaHei"/>
          <w:color w:val="000000"/>
        </w:rPr>
        <w:t>复盘比较原判断、人工取舍、实际操作与后续事实，说明哪些得到支持、哪些被推翻和还缺什么。历史版本只追加；不自动训练、改政策、执行回退或启动下一轮。报告值匹配可辅助观察，不能代替实际操作证据。</w:t>
      </w:r>
    </w:p>
    <w:p>
      <w:pPr>
        <w:pStyle w:val="Heading2"/>
      </w:pPr>
      <w:r>
        <w:t>页面与报表交接</w:t>
      </w:r>
    </w:p>
    <w:p>
      <w:r>
        <w:rPr>
          <w:rFonts w:ascii="Calibri" w:hAnsi="Calibri" w:eastAsia="Microsoft YaHei"/>
          <w:color w:val="000000"/>
        </w:rPr>
        <w:t>本地网页应支持导入、诊断、待审核、历史和配置等实际工作流；摘要简洁、证据可展开，按店铺、商品、阶段、对象、动作、风险和状态筛选。后续原始报表比较需求包括上传前后CSV与Bulk XLSX、确认窗口和实际操作、调用原生比较、保存并关联案例；不可比或归因未成熟应明确显示。</w:t>
      </w:r>
    </w:p>
    <w:p>
      <w:pPr>
        <w:pStyle w:val="Heading2"/>
      </w:pPr>
      <w:r>
        <w:t>历史Bulk能力与当前建议的关系</w:t>
      </w:r>
    </w:p>
    <w:p>
      <w:r>
        <w:rPr>
          <w:rFonts w:ascii="Calibri" w:hAnsi="Calibri" w:eastAsia="Microsoft YaHei"/>
          <w:color w:val="000000"/>
        </w:rPr>
        <w:t>保留原有人工审核、预览、Approved Bulk 的独立安全路线：身份、当前值、模板、批准有效性、最新阻断和版本均须通过；失效文件显示不可再用。当前模型候选不能因此直接进入 Approved Bulk，更不授权自动上传或广告写API。</w:t>
      </w:r>
    </w:p>
    <w:p>
      <w:pPr>
        <w:pStyle w:val="Heading2"/>
      </w:pPr>
      <w:r>
        <w:t>验收</w:t>
      </w:r>
    </w:p>
    <w:p>
      <w:r>
        <w:rPr>
          <w:rFonts w:ascii="Calibri" w:hAnsi="Calibri" w:eastAsia="Microsoft YaHei"/>
          <w:color w:val="000000"/>
        </w:rPr>
        <w:t>PR-MVP 与 KBA-01至KBA-14要求真实对象、证据不编造、目标传递正确、非广告因素参与、词义闭环、动作边界、结构化输出、人工可用及结果记录。真实模型成功、程序通过、人工认可与效果改善分别验证；失败时先修复限定闭环，不扩大平台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A01 PR-GUARD PR-MEM PR-RETRO；A03；A04；A10；A11。来源编号对应文末索引。</w:t>
      </w:r>
    </w:p>
    <w:p>
      <w:r>
        <w:br w:type="page"/>
      </w:r>
    </w:p>
    <w:p>
      <w:pPr>
        <w:pStyle w:val="Heading1"/>
      </w:pPr>
      <w:r>
        <w:t>原文索引 共同需求与PDS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以下链接固定到本次暂停保存的GitHub提交，避免main后续变化改变引用内容。私有仓库须登录有权限账号。文件名中的旧版本和原文状态措辞保留，具体采用关系见前文。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S01  </w:t>
      </w:r>
      <w:hyperlink r:id="rId11">
        <w:r>
          <w:rPr>
            <w:color w:val="245C80"/>
            <w:sz w:val="20"/>
            <w:rFonts w:ascii="Calibri" w:hAnsi="Calibri" w:eastAsia="Microsoft YaHei"/>
          </w:rPr>
          <w:t>PDS ADS KWS 共同需求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共同角色、交接、证据、业务验证和本地补充；各项目采用范围仍以各自记录为准。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P01  </w:t>
      </w:r>
      <w:hyperlink r:id="rId12">
        <w:r>
          <w:rPr>
            <w:color w:val="245C80"/>
            <w:sz w:val="20"/>
            <w:rFonts w:ascii="Calibri" w:hAnsi="Calibri" w:eastAsia="Microsoft YaHei"/>
          </w:rPr>
          <w:t>Product State Daily Decision Engine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原始经营愿景、四层模型、数据来源、状态与日常决策。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P02  </w:t>
      </w:r>
      <w:hyperlink r:id="rId13">
        <w:r>
          <w:rPr>
            <w:color w:val="245C80"/>
            <w:sz w:val="20"/>
            <w:rFonts w:ascii="Calibri" w:hAnsi="Calibri" w:eastAsia="Microsoft YaHei"/>
          </w:rPr>
          <w:t>PDS 产品方向与MVP交付基线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正式产品方向入口、MVP、真实纵向链路、界面及后续专项行为。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P03  </w:t>
      </w:r>
      <w:hyperlink r:id="rId14">
        <w:r>
          <w:rPr>
            <w:color w:val="245C80"/>
            <w:sz w:val="20"/>
            <w:rFonts w:ascii="Calibri" w:hAnsi="Calibri" w:eastAsia="Microsoft YaHei"/>
          </w:rPr>
          <w:t>PDS 全产品日常监测MVP需求与路线图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全产品集合、销售脉冲、事件、库存、西柚调度、发布及全局验收。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P04  </w:t>
      </w:r>
      <w:hyperlink r:id="rId15">
        <w:r>
          <w:rPr>
            <w:color w:val="245C80"/>
            <w:sz w:val="20"/>
            <w:rFonts w:ascii="Calibri" w:hAnsi="Calibri" w:eastAsia="Microsoft YaHei"/>
          </w:rPr>
          <w:t>PDS 产品经营策略需求与验收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经营知识采用要求、目标权限、投入、诊断、计划及OPA验收。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P05a  </w:t>
      </w:r>
      <w:hyperlink r:id="rId16">
        <w:r>
          <w:rPr>
            <w:color w:val="245C80"/>
            <w:sz w:val="20"/>
            <w:rFonts w:ascii="Calibri" w:hAnsi="Calibri" w:eastAsia="Microsoft YaHei"/>
          </w:rPr>
          <w:t>产品经营知识原始Word Part1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经营卡与生命周期，含PDS-LIFE-001至005。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P05b  </w:t>
      </w:r>
      <w:hyperlink r:id="rId17">
        <w:r>
          <w:rPr>
            <w:color w:val="245C80"/>
            <w:sz w:val="20"/>
            <w:rFonts w:ascii="Calibri" w:hAnsi="Calibri" w:eastAsia="Microsoft YaHei"/>
          </w:rPr>
          <w:t>产品经营知识原始Word Part2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五类目标与异常诊断，含PDS-OBJ和PDS-DIAG原始规则。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P05c  </w:t>
      </w:r>
      <w:hyperlink r:id="rId18">
        <w:r>
          <w:rPr>
            <w:color w:val="245C80"/>
            <w:sz w:val="20"/>
            <w:rFonts w:ascii="Calibri" w:hAnsi="Calibri" w:eastAsia="Microsoft YaHei"/>
          </w:rPr>
          <w:t>产品经营知识原始Word Part3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跨项目协作、真实案例与规则经验。任务路由按后续共同需求修订。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P05d  </w:t>
      </w:r>
      <w:hyperlink r:id="rId19">
        <w:r>
          <w:rPr>
            <w:color w:val="245C80"/>
            <w:sz w:val="20"/>
            <w:rFonts w:ascii="Calibri" w:hAnsi="Calibri" w:eastAsia="Microsoft YaHei"/>
          </w:rPr>
          <w:t>产品经营知识原始Word Part4 Codex Implementation Mapping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知识到模型、输入、输出、验证和实现的映射与阶段建议。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P06  </w:t>
      </w:r>
      <w:hyperlink r:id="rId20">
        <w:r>
          <w:rPr>
            <w:color w:val="245C80"/>
            <w:sz w:val="20"/>
            <w:rFonts w:ascii="Calibri" w:hAnsi="Calibri" w:eastAsia="Microsoft YaHei"/>
          </w:rPr>
          <w:t>领星发货单报关资料需求 V0.1及后续确认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完整C01至C36及来源、计算、模板、公司、网站、Windows与源码交付要求。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P07  </w:t>
      </w:r>
      <w:hyperlink r:id="rId21">
        <w:r>
          <w:rPr>
            <w:color w:val="245C80"/>
            <w:sz w:val="20"/>
            <w:rFonts w:ascii="Calibri" w:hAnsi="Calibri" w:eastAsia="Microsoft YaHei"/>
          </w:rPr>
          <w:t>PDS ADS 诊断协作能力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PDS调用广告诊断及返回内容的专项能力边界。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P08  </w:t>
      </w:r>
      <w:hyperlink r:id="rId22">
        <w:r>
          <w:rPr>
            <w:color w:val="245C80"/>
            <w:sz w:val="20"/>
            <w:rFonts w:ascii="Calibri" w:hAnsi="Calibri" w:eastAsia="Microsoft YaHei"/>
          </w:rPr>
          <w:t>PDS 市场研究选择与路由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市场证据消费与任务选择的专项要求。</w:t>
      </w:r>
    </w:p>
    <w:p>
      <w:r>
        <w:br w:type="page"/>
      </w:r>
    </w:p>
    <w:p>
      <w:pPr>
        <w:pStyle w:val="Heading1"/>
      </w:pPr>
      <w:r>
        <w:t>原文索引 ADS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A01  </w:t>
      </w:r>
      <w:hyperlink r:id="rId23">
        <w:r>
          <w:rPr>
            <w:color w:val="245C80"/>
            <w:sz w:val="20"/>
            <w:rFonts w:ascii="Calibri" w:hAnsi="Calibri" w:eastAsia="Microsoft YaHei"/>
          </w:rPr>
          <w:t>ADS 当前产品需求基线 V1.1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当前产品方向权威；受控LLM、事实及人工权限、四类记忆、Guard和真实MVP验收。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A02  广告优化知识原始Word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ADS_Advertising_Optimization_Knowledge_Base_V1.docx，原件位于本机Downloads。已核对全文及SHA256，与A03记录一致。其引用的两本学习手册未作为直接原文逐项核验，不声称已合并手册全文。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SHA256  a95b267e648bcf15bbc39fd7fbc2ef891e3e237476513f5c38464aa9ee005603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A03  </w:t>
      </w:r>
      <w:hyperlink r:id="rId24">
        <w:r>
          <w:rPr>
            <w:color w:val="245C80"/>
            <w:sz w:val="20"/>
            <w:rFonts w:ascii="Calibri" w:hAnsi="Calibri" w:eastAsia="Microsoft YaHei"/>
          </w:rPr>
          <w:t>ADS 广告优化规则与验收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原知识的受控采用与解释，KB-001至012及KBA-01至14。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A04  </w:t>
      </w:r>
      <w:hyperlink r:id="rId25">
        <w:r>
          <w:rPr>
            <w:color w:val="245C80"/>
            <w:sz w:val="20"/>
            <w:rFonts w:ascii="Calibri" w:hAnsi="Calibri" w:eastAsia="Microsoft YaHei"/>
          </w:rPr>
          <w:t>Amazon PPC 广告优化决策需求 V2.0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原本地网页、数据、诊断、审核、Bulk、观察和备份需求；AI与操作记忆以A01后续口径为准。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A05  </w:t>
      </w:r>
      <w:hyperlink r:id="rId26">
        <w:r>
          <w:rPr>
            <w:color w:val="245C80"/>
            <w:sz w:val="20"/>
            <w:rFonts w:ascii="Calibri" w:hAnsi="Calibri" w:eastAsia="Microsoft YaHei"/>
          </w:rPr>
          <w:t>Amazon PPC 阶段化运营规则 V2.1 原始Word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原阶段策略、保护、SQP增强、观察及AT-01至15；数值为可配置模板。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A06  </w:t>
      </w:r>
      <w:hyperlink r:id="rId27">
        <w:r>
          <w:rPr>
            <w:color w:val="245C80"/>
            <w:sz w:val="20"/>
            <w:rFonts w:ascii="Calibri" w:hAnsi="Calibri" w:eastAsia="Microsoft YaHei"/>
          </w:rPr>
          <w:t>Amazon PPC 预算分配与重分配 V2.2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产品预算池、预算桶、Campaign预算、原子重分配、底线与必测场景。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A07  </w:t>
      </w:r>
      <w:hyperlink r:id="rId28">
        <w:r>
          <w:rPr>
            <w:color w:val="245C80"/>
            <w:sz w:val="20"/>
            <w:rFonts w:ascii="Calibri" w:hAnsi="Calibri" w:eastAsia="Microsoft YaHei"/>
          </w:rPr>
          <w:t>Amazon PPC 产品知识与搜索词相关性 V2.3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产品档案、意图、R0至R5与RX、商业有效性、否定及缺证边界。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A08  </w:t>
      </w:r>
      <w:hyperlink r:id="rId29">
        <w:r>
          <w:rPr>
            <w:color w:val="245C80"/>
            <w:sz w:val="20"/>
            <w:rFonts w:ascii="Calibri" w:hAnsi="Calibri" w:eastAsia="Microsoft YaHei"/>
          </w:rPr>
          <w:t>广告优化系统完整需求 V1.3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完整业务架构、搜索需求、Target构成、Campaign结构、增长、任务和实验。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A09  </w:t>
      </w:r>
      <w:hyperlink r:id="rId30">
        <w:r>
          <w:rPr>
            <w:color w:val="245C80"/>
            <w:sz w:val="20"/>
            <w:rFonts w:ascii="Calibri" w:hAnsi="Calibri" w:eastAsia="Microsoft YaHei"/>
          </w:rPr>
          <w:t>V1.3 实施映射与MVP边界 V1.0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限制V1.3一次性开发范围，保留底层复用与独立审核导出边界。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A10  </w:t>
      </w:r>
      <w:hyperlink r:id="rId31">
        <w:r>
          <w:rPr>
            <w:color w:val="245C80"/>
            <w:sz w:val="20"/>
            <w:rFonts w:ascii="Calibri" w:hAnsi="Calibri" w:eastAsia="Microsoft YaHei"/>
          </w:rPr>
          <w:t>案例原始报表导入与比较任务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前后CSV与Bulk报表导入、比较和案例关联的专项需求。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A11  </w:t>
      </w:r>
      <w:hyperlink r:id="rId32">
        <w:r>
          <w:rPr>
            <w:color w:val="245C80"/>
            <w:sz w:val="20"/>
            <w:rFonts w:ascii="Calibri" w:hAnsi="Calibri" w:eastAsia="Microsoft YaHei"/>
          </w:rPr>
          <w:t>案例工作流任务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统一案例的审核、人工操作及后续比较流程。</w:t>
      </w:r>
    </w:p>
    <w:p>
      <w:r>
        <w:br w:type="page"/>
      </w:r>
    </w:p>
    <w:p>
      <w:pPr>
        <w:pStyle w:val="Heading1"/>
      </w:pPr>
      <w:r>
        <w:t>原文索引 KWS与市场分析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K01  </w:t>
      </w:r>
      <w:hyperlink r:id="rId33">
        <w:r>
          <w:rPr>
            <w:color w:val="245C80"/>
            <w:sz w:val="20"/>
            <w:rFonts w:ascii="Calibri" w:hAnsi="Calibri" w:eastAsia="Microsoft YaHei"/>
          </w:rPr>
          <w:t>KWS 项目基线与最新最小闭环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关键词资产与MVP总基线；第65节记录最新当前可用闭环优先级。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K02  </w:t>
      </w:r>
      <w:hyperlink r:id="rId34">
        <w:r>
          <w:rPr>
            <w:color w:val="245C80"/>
            <w:sz w:val="20"/>
            <w:rFonts w:ascii="Calibri" w:hAnsi="Calibri" w:eastAsia="Microsoft YaHei"/>
          </w:rPr>
          <w:t>KWS 核心设计原则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商品事实、硬冲突、未知、市场与账户指标等核心原则。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K03  </w:t>
      </w:r>
      <w:hyperlink r:id="rId35">
        <w:r>
          <w:rPr>
            <w:color w:val="245C80"/>
            <w:sz w:val="20"/>
            <w:rFonts w:ascii="Calibri" w:hAnsi="Calibri" w:eastAsia="Microsoft YaHei"/>
          </w:rPr>
          <w:t>KWS 市场关键词研究需求 V1.0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MI1词池、概念需求结构、市场观察及后续趋势覆盖目标。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K04  </w:t>
      </w:r>
      <w:hyperlink r:id="rId36">
        <w:r>
          <w:rPr>
            <w:color w:val="245C80"/>
            <w:sz w:val="20"/>
            <w:rFonts w:ascii="Calibri" w:hAnsi="Calibri" w:eastAsia="Microsoft YaHei"/>
          </w:rPr>
          <w:t>KWS 真实业务验证协议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真实商品与词表、分层抽样、人工基准、错误类型和工作负担验证。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M01  </w:t>
      </w:r>
      <w:hyperlink r:id="rId37">
        <w:r>
          <w:rPr>
            <w:color w:val="245C80"/>
            <w:sz w:val="20"/>
            <w:rFonts w:ascii="Calibri" w:hAnsi="Calibri" w:eastAsia="Microsoft YaHei"/>
          </w:rPr>
          <w:t>市场分析 产品需求与核心架构 V0.2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商品需求认知、规范证据、真实竞品、市场机会、阶段用途和业务验收。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M02  </w:t>
      </w:r>
      <w:hyperlink r:id="rId38">
        <w:r>
          <w:rPr>
            <w:color w:val="245C80"/>
            <w:sz w:val="20"/>
            <w:rFonts w:ascii="Calibri" w:hAnsi="Calibri" w:eastAsia="Microsoft YaHei"/>
          </w:rPr>
          <w:t>市场报告参考模板需求 V0.1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原Excel参考模板的业务能力、完整报告、外部KWS融合及验收。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M03  </w:t>
      </w:r>
      <w:hyperlink r:id="rId39">
        <w:r>
          <w:rPr>
            <w:color w:val="245C80"/>
            <w:sz w:val="20"/>
            <w:rFonts w:ascii="Calibri" w:hAnsi="Calibri" w:eastAsia="Microsoft YaHei"/>
          </w:rPr>
          <w:t>市场报告 V0.2 合同设计 V0.1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版本化报告合同及与既有稳定报告的关系。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M04  </w:t>
      </w:r>
      <w:hyperlink r:id="rId40">
        <w:r>
          <w:rPr>
            <w:color w:val="245C80"/>
            <w:sz w:val="20"/>
            <w:rFonts w:ascii="Calibri" w:hAnsi="Calibri" w:eastAsia="Microsoft YaHei"/>
          </w:rPr>
          <w:t>运营市场报告 V0.3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中文运营报告、家族聚合、覆盖限制、15表及人工评审。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M05  </w:t>
      </w:r>
      <w:hyperlink r:id="rId41">
        <w:r>
          <w:rPr>
            <w:color w:val="245C80"/>
            <w:sz w:val="20"/>
            <w:rFonts w:ascii="Calibri" w:hAnsi="Calibri" w:eastAsia="Microsoft YaHei"/>
          </w:rPr>
          <w:t>市场分析与PDS工作流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已有市场结果与PDS的三类研究协作、版本和回执。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M06  </w:t>
      </w:r>
      <w:hyperlink r:id="rId42">
        <w:r>
          <w:rPr>
            <w:color w:val="245C80"/>
            <w:sz w:val="20"/>
            <w:rFonts w:ascii="Calibri" w:hAnsi="Calibri" w:eastAsia="Microsoft YaHei"/>
          </w:rPr>
          <w:t>市场新研究接收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新研究接收、身份来源、待分析状态与完成边界。</w:t>
      </w:r>
    </w:p>
    <w:p>
      <w:pPr>
        <w:pStyle w:val="Heading2"/>
      </w:pPr>
      <w:r>
        <w:t>取证范围与原文保留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本汇编直接核对上述仓库文件及五份经营知识原始Word，并保留ADS阶段规则Word。市场原Excel的能力采用仓库中已确认的参考需求，未在本轮重新逐单元格审计原工作簿。技术实现状态、测试结果、真实数据及历史交付不与需求混写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共同需求固定采用版本：7cefbc17cc78e6c1b89ef78bfea40effffad2693；四仓库本次保存版本分别为PDS 5d84e53b、ADS a5104819、KWS c9e7ceb0、市场88eb05cf。完整提交在每条原文链接中固定。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7"/>
      </w:rPr>
      <w:t xml:space="preserve">2026年10月15日  ·  </w:t>
    </w:r>
    <w:r/>
    <w:fldSimple w:instr="PAGE"/>
    <w:r>
      <w:rPr>
        <w:rFonts w:ascii="Calibri" w:hAnsi="Calibri" w:eastAsia="Microsoft YaHei"/>
        <w:color w:val="555555"/>
        <w:sz w:val="17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color w:val="000000"/>
        <w:sz w:val="17"/>
      </w:rPr>
      <w:t>原始需求整合说明 第二册 PDS报关与ADS广告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71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1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71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Theme="majorHAnsi" w:eastAsiaTheme="majorEastAsia" w:hAnsiTheme="majorHAnsi" w:cstheme="majorBidi" w:ascii="Calibri" w:hAnsi="Calibr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Theme="majorHAnsi" w:eastAsiaTheme="majorEastAsia" w:hAnsiTheme="majorHAnsi" w:cstheme="majorBidi" w:ascii="Calibri" w:hAnsi="Calibr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ulongya-code/daily_data_auto_entry/blob/5d84e53b1a5aab5acf93e5aee9b0db1810aa2723/docs/coordination/PDS_ADS_KWS_REQUIREMENTS_V1.md" TargetMode="External"/><Relationship Id="rId12" Type="http://schemas.openxmlformats.org/officeDocument/2006/relationships/hyperlink" Target="https://github.com/gulongya-code/daily_data_auto_entry/blob/5d84e53b1a5aab5acf93e5aee9b0db1810aa2723/docs/PRODUCT_STATE_DAILY_DECISION_ENGINE_V1.md" TargetMode="External"/><Relationship Id="rId13" Type="http://schemas.openxmlformats.org/officeDocument/2006/relationships/hyperlink" Target="https://github.com/gulongya-code/daily_data_auto_entry/blob/5d84e53b1a5aab5acf93e5aee9b0db1810aa2723/docs/pds/PDS_PRODUCT_DIRECTION_AND_MVP_BASELINE.md" TargetMode="External"/><Relationship Id="rId14" Type="http://schemas.openxmlformats.org/officeDocument/2006/relationships/hyperlink" Target="https://github.com/gulongya-code/daily_data_auto_entry/blob/5d84e53b1a5aab5acf93e5aee9b0db1810aa2723/docs/pds/TASK_PDS_ALL_PRODUCT_DAILY_MONITORING_MVP_REQUIREMENTS_AND_CODEX_ROADMAP.md" TargetMode="External"/><Relationship Id="rId15" Type="http://schemas.openxmlformats.org/officeDocument/2006/relationships/hyperlink" Target="https://github.com/gulongya-code/daily_data_auto_entry/blob/5d84e53b1a5aab5acf93e5aee9b0db1810aa2723/docs/pds/PDS_PRODUCT_OPERATING_POLICY_REQUIREMENTS_AND_ACCEPTANCE_V1.md" TargetMode="External"/><Relationship Id="rId16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1.docx" TargetMode="External"/><Relationship Id="rId17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2.docx" TargetMode="External"/><Relationship Id="rId18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3.docx" TargetMode="External"/><Relationship Id="rId19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4_Codex_Implementation_Mapping.docx" TargetMode="External"/><Relationship Id="rId20" Type="http://schemas.openxmlformats.org/officeDocument/2006/relationships/hyperlink" Target="https://github.com/gulongya-code/daily_data_auto_entry/blob/5d84e53b1a5aab5acf93e5aee9b0db1810aa2723/docs/pds/PDS_CUSTOMS_DOCUMENT_AUTOFILL_REQUIREMENTS_V0_1.md" TargetMode="External"/><Relationship Id="rId21" Type="http://schemas.openxmlformats.org/officeDocument/2006/relationships/hyperlink" Target="https://github.com/gulongya-code/daily_data_auto_entry/blob/5d84e53b1a5aab5acf93e5aee9b0db1810aa2723/docs/pds/PDS_ADS_DIAGNOSTIC_CAPABILITY_V1.md" TargetMode="External"/><Relationship Id="rId22" Type="http://schemas.openxmlformats.org/officeDocument/2006/relationships/hyperlink" Target="https://github.com/gulongya-code/daily_data_auto_entry/blob/5d84e53b1a5aab5acf93e5aee9b0db1810aa2723/docs/pds/PDS_MARKET_SELECTION_ROUTING_V1.md" TargetMode="External"/><Relationship Id="rId23" Type="http://schemas.openxmlformats.org/officeDocument/2006/relationships/hyperlink" Target="https://github.com/gulongya-code/amazon_ads_optimizer/blob/a51048199065968a04dff9c5520b10228eb81092/docs/requirements/Amazon_Ads_Optimizer_%E5%BD%93%E5%89%8D%E4%BA%A7%E5%93%81%E9%9C%80%E6%B1%82%E5%9F%BA%E7%BA%BF_V1.1.md" TargetMode="External"/><Relationship Id="rId24" Type="http://schemas.openxmlformats.org/officeDocument/2006/relationships/hyperlink" Target="https://github.com/gulongya-code/amazon_ads_optimizer/blob/a51048199065968a04dff9c5520b10228eb81092/docs/requirements/ADS_ADVERTISING_OPTIMIZATION_RULES_AND_ACCEPTANCE_V1.md" TargetMode="External"/><Relationship Id="rId25" Type="http://schemas.openxmlformats.org/officeDocument/2006/relationships/hyperlink" Target="https://github.com/gulongya-code/amazon_ads_optimizer/blob/a51048199065968a04dff9c5520b10228eb81092/docs/requirements/Amazon_PPC_%E5%B9%BF%E5%91%8A%E4%BC%98%E5%8C%96%E5%86%B3%E7%AD%96%E7%B3%BB%E7%BB%9F%E9%9C%80%E6%B1%82%E6%96%87%E6%A1%A3_V2.0_Codex%E7%89%88.md" TargetMode="External"/><Relationship Id="rId26" Type="http://schemas.openxmlformats.org/officeDocument/2006/relationships/hyperlink" Target="https://github.com/gulongya-code/amazon_ads_optimizer/blob/a51048199065968a04dff9c5520b10228eb81092/docs/requirements/Amazon_PPC_%E9%98%B6%E6%AE%B5%E5%8C%96%E8%BF%90%E8%90%A5%E5%86%B3%E7%AD%96%E8%A7%84%E5%88%99_V2.1.docx" TargetMode="External"/><Relationship Id="rId27" Type="http://schemas.openxmlformats.org/officeDocument/2006/relationships/hyperlink" Target="https://github.com/gulongya-code/amazon_ads_optimizer/blob/a51048199065968a04dff9c5520b10228eb81092/docs/requirements/Amazon_PPC_%E9%A2%84%E7%AE%97%E5%88%86%E9%85%8D%E4%B8%8E%E9%87%8D%E5%88%86%E9%85%8D%E8%A7%84%E5%88%99_V2.2.md" TargetMode="External"/><Relationship Id="rId28" Type="http://schemas.openxmlformats.org/officeDocument/2006/relationships/hyperlink" Target="https://github.com/gulongya-code/amazon_ads_optimizer/blob/a51048199065968a04dff9c5520b10228eb81092/docs/requirements/Amazon_PPC_%E4%BA%A7%E5%93%81%E7%9F%A5%E8%AF%86%E5%BA%93%E4%B8%8E%E6%90%9C%E7%B4%A2%E8%AF%8D%E7%9B%B8%E5%85%B3%E6%80%A7%E8%A7%84%E5%88%99_V2.3.md" TargetMode="External"/><Relationship Id="rId29" Type="http://schemas.openxmlformats.org/officeDocument/2006/relationships/hyperlink" Target="https://github.com/gulongya-code/amazon_ads_optimizer/blob/a51048199065968a04dff9c5520b10228eb81092/docs/requirements/amazon_ads_optimizer_v1_3/Amazon%E5%B9%BF%E5%91%8A%E4%BC%98%E5%8C%96%E7%B3%BB%E7%BB%9F%E6%AD%A3%E5%BC%8F%E9%9C%80%E6%B1%82%E6%96%87%E6%A1%A3_V1.3_%E6%A8%A1%E5%9D%97%E9%87%8D%E6%9E%84%E4%B8%8E%E5%A2%9E%E9%95%BF%E6%95%B4%E5%90%88%E7%89%88.md" TargetMode="External"/><Relationship Id="rId30" Type="http://schemas.openxmlformats.org/officeDocument/2006/relationships/hyperlink" Target="https://github.com/gulongya-code/amazon_ads_optimizer/blob/a51048199065968a04dff9c5520b10228eb81092/docs/requirements/amazon_ads_optimizer_v1_3/Amazon_Ads_Optimizer_V1.3_%E5%AE%9E%E6%96%BD%E6%98%A0%E5%B0%84%E4%B8%8EMVP%E8%BE%B9%E7%95%8C%E8%AF%B4%E6%98%8E_V1.0.md" TargetMode="External"/><Relationship Id="rId31" Type="http://schemas.openxmlformats.org/officeDocument/2006/relationships/hyperlink" Target="https://github.com/gulongya-code/amazon_ads_optimizer/blob/a51048199065968a04dff9c5520b10228eb81092/docs/plans/TASK-ADS-CASE-REPORT-COMPARE-001.md" TargetMode="External"/><Relationship Id="rId32" Type="http://schemas.openxmlformats.org/officeDocument/2006/relationships/hyperlink" Target="https://github.com/gulongya-code/amazon_ads_optimizer/blob/a51048199065968a04dff9c5520b10228eb81092/docs/plans/TASK-ADS-CASE-WORKFLOW-001.md" TargetMode="External"/><Relationship Id="rId33" Type="http://schemas.openxmlformats.org/officeDocument/2006/relationships/hyperlink" Target="https://github.com/gulongya-code/amazon_keyword_screener/blob/c9e7ceb0f59ec4db0c91843f89799a911d5cf2da/PROJECT_BASELINE.md" TargetMode="External"/><Relationship Id="rId34" Type="http://schemas.openxmlformats.org/officeDocument/2006/relationships/hyperlink" Target="https://github.com/gulongya-code/amazon_keyword_screener/blob/c9e7ceb0f59ec4db0c91843f89799a911d5cf2da/docs/kws/KWS_CORE_DESIGN_PRINCIPLES.md" TargetMode="External"/><Relationship Id="rId35" Type="http://schemas.openxmlformats.org/officeDocument/2006/relationships/hyperlink" Target="https://github.com/gulongya-code/amazon_keyword_screener/blob/c9e7ceb0f59ec4db0c91843f89799a911d5cf2da/docs/kws/KWS_MARKET_KEYWORD_INTELLIGENCE_REQUIREMENTS_V1_0.md" TargetMode="External"/><Relationship Id="rId36" Type="http://schemas.openxmlformats.org/officeDocument/2006/relationships/hyperlink" Target="https://github.com/gulongya-code/amazon_keyword_screener/blob/c9e7ceb0f59ec4db0c91843f89799a911d5cf2da/docs/kws/KWS_REAL_VALIDATION_PROTOCOL.md" TargetMode="External"/><Relationship Id="rId37" Type="http://schemas.openxmlformats.org/officeDocument/2006/relationships/hyperlink" Target="https://github.com/gulongya-code/amazon-product-development/blob/88eb05cfa34f30d5df9515192aff341ef44d3e4f/docs/requirements/%E4%BA%9A%E9%A9%AC%E9%80%8A%E6%99%BA%E8%83%BD%E9%80%89%E5%93%81%E7%B3%BB%E7%BB%9F_%E4%BA%A7%E5%93%81%E9%9C%80%E6%B1%82%E4%B8%8E%E6%A0%B8%E5%BF%83%E6%9E%B6%E6%9E%84%E8%AF%B4%E6%98%8E_V0.2.md" TargetMode="External"/><Relationship Id="rId38" Type="http://schemas.openxmlformats.org/officeDocument/2006/relationships/hyperlink" Target="https://github.com/gulongya-code/amazon-product-development/blob/88eb05cfa34f30d5df9515192aff341ef44d3e4f/docs/requirements/MARKET_REPORT_REFERENCE_TEMPLATE_REQUIREMENTS_V0.1.md" TargetMode="External"/><Relationship Id="rId39" Type="http://schemas.openxmlformats.org/officeDocument/2006/relationships/hyperlink" Target="https://github.com/gulongya-code/amazon-product-development/blob/88eb05cfa34f30d5df9515192aff341ef44d3e4f/docs/requirements/MARKET_REPORT_V0_2_CONTRACT_DESIGN_V0.1.md" TargetMode="External"/><Relationship Id="rId40" Type="http://schemas.openxmlformats.org/officeDocument/2006/relationships/hyperlink" Target="https://github.com/gulongya-code/amazon-product-development/blob/88eb05cfa34f30d5df9515192aff341ef44d3e4f/docs/requirements/OPERATOR_MARKET_REPORT_V0_3.md" TargetMode="External"/><Relationship Id="rId41" Type="http://schemas.openxmlformats.org/officeDocument/2006/relationships/hyperlink" Target="https://github.com/gulongya-code/amazon-product-development/blob/88eb05cfa34f30d5df9515192aff341ef44d3e4f/docs/market_pds_workflow_v1.md" TargetMode="External"/><Relationship Id="rId42" Type="http://schemas.openxmlformats.org/officeDocument/2006/relationships/hyperlink" Target="https://github.com/gulongya-code/amazon-product-development/blob/88eb05cfa34f30d5df9515192aff341ef44d3e4f/docs/market_new_research_intake_v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原始需求整合说明 第二册 PDS报关与ADS广告</dc:title>
  <dc:subject>2026年10月15日完整需求整合稿分册</dc:subject>
  <dc:creator>项目需求整理</dc:creator>
  <cp:keywords>PDS ADS KWS 市场分析 原始需求 验收 版本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