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Service Level Agreement</w:t>
      </w:r>
    </w:p>
    <w:p>
      <w:r>
        <w:t>Document ID: SLA-AGR-01</w:t>
      </w:r>
    </w:p>
    <w:p>
      <w:r>
        <w:t>Document Type: sla</w:t>
      </w:r>
    </w:p>
    <w:p>
      <w:r>
        <w:t>Version: 1.0</w:t>
      </w:r>
    </w:p>
    <w:p>
      <w:r>
        <w:t>Effective Date: 2026-01-01</w:t>
      </w:r>
    </w:p>
    <w:p>
      <w:r>
        <w:t>Expiry Date: 2027-12-31</w:t>
      </w:r>
    </w:p>
    <w:p>
      <w:r>
        <w:t>Owner: Customer Relations</w:t>
      </w:r>
    </w:p>
    <w:p>
      <w:pPr>
        <w:pStyle w:val="Heading1"/>
      </w:pPr>
      <w:r>
        <w:t>1 Priority Definitions</w:t>
      </w:r>
    </w:p>
    <w:p>
      <w:r>
        <w:t>P0 Critical covers safety, security and privacy incidents. P1 High covers legal threats, high-value disputes and repeated unresolved complaints. P2 Medium covers standard product, delivery, billing and refund issues. P3 Low covers general questions and minor service feedback.</w:t>
      </w:r>
    </w:p>
    <w:p>
      <w:pPr>
        <w:pStyle w:val="Heading1"/>
      </w:pPr>
      <w:r>
        <w:t>2 Response and Resolution Targets</w:t>
      </w:r>
    </w:p>
    <w:p>
      <w:r>
        <w:t>P0 Critical: first response within 30 minutes, resolution within 4 hours. P1 High: first response within 2 hours, resolution within 24 hours. P2 Medium: first response within 8 hours, resolution within 3 days. P3 Low: first response within 24 hours, resolution within 7 days.</w:t>
      </w:r>
    </w:p>
    <w:p>
      <w:pPr>
        <w:pStyle w:val="Heading1"/>
      </w:pPr>
      <w:r>
        <w:t>3 At-Risk Monitoring</w:t>
      </w:r>
    </w:p>
    <w:p>
      <w:r>
        <w:t>A complaint is at risk when 50% of the resolution window has elapsed for P0, 70% for P1, 75% for P2 and 80% for P3. At-risk complaints are highlighted to the owning department manager.</w:t>
      </w:r>
    </w:p>
    <w:p>
      <w:pPr>
        <w:pStyle w:val="Heading1"/>
      </w:pPr>
      <w:r>
        <w:t>4 VIP Customers</w:t>
      </w:r>
    </w:p>
    <w:p>
      <w:r>
        <w:t>VIP customers receive the same priority rules as other customers. Priority is based on business impact and risk, not on customer status or the emotional tone of the complaint.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Service Level Agreement</dc:title>
  <dc:subject/>
  <dc:creator>VoltHaven Electronics (fictional)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