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Standards and Conduct Policy</w:t>
      </w:r>
    </w:p>
    <w:p>
      <w:r>
        <w:t>Document ID: SRV-POL-01</w:t>
      </w:r>
    </w:p>
    <w:p>
      <w:r>
        <w:t>Document Type: policy</w:t>
      </w:r>
    </w:p>
    <w:p>
      <w:r>
        <w:t>Version: 1.4</w:t>
      </w:r>
    </w:p>
    <w:p>
      <w:r>
        <w:t>Effective Date: 2026-01-01</w:t>
      </w:r>
    </w:p>
    <w:p>
      <w:r>
        <w:t>Expiry Date: 2027-12-31</w:t>
      </w:r>
    </w:p>
    <w:p>
      <w:r>
        <w:t>Owner: Customer Relations</w:t>
      </w:r>
    </w:p>
    <w:p>
      <w:pPr>
        <w:pStyle w:val="Heading1"/>
      </w:pPr>
      <w:r>
        <w:t>1 Service Standards</w:t>
      </w:r>
    </w:p>
    <w:p>
      <w:r>
        <w:t>Every customer is treated with courtesy and respect, receives accurate information and is told honestly what will happen next and when.</w:t>
      </w:r>
    </w:p>
    <w:p>
      <w:pPr>
        <w:pStyle w:val="Heading1"/>
      </w:pPr>
      <w:r>
        <w:t>2 Staff Conduct Complaints</w:t>
      </w:r>
    </w:p>
    <w:p>
      <w:r>
        <w:t>Complaints about the behaviour of VoltHaven staff are reviewed by Customer Relations within 3 business days. The agent apologises for the experience, records the feedback for the team leader and confirms that it will be reviewed. Details of any internal disciplinary action are never shared with the customer.</w:t>
      </w:r>
    </w:p>
    <w:p>
      <w:pPr>
        <w:pStyle w:val="Heading1"/>
      </w:pPr>
      <w:r>
        <w:t>3 Courier Conduct</w:t>
      </w:r>
    </w:p>
    <w:p>
      <w:r>
        <w:t>Complaints about courier behaviour (for example rudeness, leaving parcels in unsafe places or damaging property) are recorded and reported to the courier partner. Customer Relations owns the complaint and Logistics &amp; Delivery supports it.</w:t>
      </w:r>
    </w:p>
    <w:p>
      <w:pPr>
        <w:pStyle w:val="Heading1"/>
      </w:pPr>
      <w:r>
        <w:t>4 Response Times</w:t>
      </w:r>
    </w:p>
    <w:p>
      <w:r>
        <w:t>Customers receive a first response and a resolution within the targets set in the Customer Service Level Agreement (SLA-AGR-01). If a target will be missed, the customer is told before it is missed.</w:t>
      </w:r>
    </w:p>
    <w:p>
      <w:pPr>
        <w:pStyle w:val="Heading1"/>
      </w:pPr>
      <w:r>
        <w:t>5 Goodwill Gestures</w:t>
      </w:r>
    </w:p>
    <w:p>
      <w:r>
        <w:t>A supervisor may approve a goodwill store credit of up to USD 25 where the service fell below these standards. Goodwill gestures are never promised before supervisor approval and are not cash payments. When a VIP customer says they intend to leave, a supervisor reviews the case for retention; this does not change its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Standards and Conduct Policy</dc:title>
  <dc:subject/>
  <dc:creator>VoltHaven Electronics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