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rFonts w:ascii="Calibri" w:cs="Calibri" w:eastAsia="Calibri" w:hAnsi="Calibri"/>
          <w:b/>
          <w:bCs/>
          <w:color w:val="1F4E79"/>
          <w:sz w:val="64"/>
          <w:szCs w:val="64"/>
        </w:rPr>
        <w:t xml:space="preserve">SmartHealth</w:t>
      </w:r>
    </w:p>
    <w:p>
      <w:pPr>
        <w:spacing w:before="120"/>
        <w:jc w:val="center"/>
      </w:pPr>
      <w:r>
        <w:rPr>
          <w:rFonts w:ascii="Calibri" w:cs="Calibri" w:eastAsia="Calibri" w:hAnsi="Calibri"/>
          <w:color w:val="2E75B6"/>
          <w:sz w:val="36"/>
          <w:szCs w:val="36"/>
        </w:rPr>
        <w:t xml:space="preserve">Intelligent Healthcare Operations Platform</w:t>
      </w:r>
    </w:p>
    <w:p>
      <w:pPr>
        <w:spacing w:before="80"/>
        <w:jc w:val="center"/>
      </w:pPr>
      <w:r>
        <w:rPr>
          <w:rFonts w:ascii="Calibri" w:cs="Calibri" w:eastAsia="Calibri" w:hAnsi="Calibri"/>
          <w:color w:val="666666"/>
          <w:sz w:val="26"/>
          <w:szCs w:val="26"/>
        </w:rPr>
        <w:t xml:space="preserve">Product Requirements Document  —  Part B</w:t>
      </w:r>
    </w:p>
    <w:p>
      <w:pPr>
        <w:spacing w:before="60"/>
        <w:jc w:val="center"/>
      </w:pPr>
      <w:r>
        <w:rPr>
          <w:rFonts w:ascii="Calibri" w:cs="Calibri" w:eastAsia="Calibri" w:hAnsi="Calibri"/>
          <w:color w:val="888888"/>
          <w:sz w:val="22"/>
          <w:szCs w:val="22"/>
        </w:rPr>
        <w:t xml:space="preserve">Gulsicka  |  August 2026</w:t>
      </w:r>
    </w:p>
    <w:p>
      <w:r>
        <w:br w:type="page"/>
      </w:r>
    </w:p>
    <w:p>
      <w:pPr>
        <w:spacing w:after="160" w:before="32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1. Product Overview</w:t>
      </w:r>
    </w:p>
    <w:p>
      <w:pPr>
        <w:spacing w:after="80" w:before="8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Part B extends SmartHealth with a GenAI layer delivered as a new ai-service microservice. It adds admin-facing conversational AI over the platform's own data, automated report and summary generation, AI-drafted patient/staff communications, and the analytics needed to measure how the AI layer is used — all built on top of the services delivered in Part A.</w:t>
      </w:r>
    </w:p>
    <w:p>
      <w:pPr>
        <w:spacing w:after="80" w:before="8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The design follows one governing principle throughout: the LLM is used for language, never for arithmetic. All totals, counts, and percentages are computed deterministically in Python and stored as data-only chunks in a pgvector store; the LLM only narrates from those verified numbers, and prompt framing is applied only at request time, never persisted alongside the data.</w:t>
      </w:r>
    </w:p>
    <w:p>
      <w:pPr>
        <w:spacing w:before="120"/>
      </w:pPr>
      <w:r>
        <w:rPr>
          <w:rFonts w:ascii="Calibri" w:cs="Calibri" w:eastAsia="Calibri" w:hAnsi="Calibri"/>
          <w:b/>
          <w:bCs/>
          <w:color w:val="1F4E79"/>
          <w:sz w:val="21"/>
          <w:szCs w:val="21"/>
        </w:rPr>
        <w:t xml:space="preserve">New Service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ai-service — retrieval-augmented chat, report generation, AI-drafted communications, knowledge base sync, all backed by pgvector</w:t>
      </w:r>
    </w:p>
    <w:p>
      <w:pPr>
        <w:spacing w:after="160" w:before="32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2. Key Use Cases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UC-11  AI Chat Assistant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Admin submits a natural-language question to /chat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Query is scanned for an explicit entity reference (patient/provider/clinic/department + numeric ID)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If an entity ID is found, chunk retrieval is filtered to that source before ranking; otherwise pure cosine-similarity search runs over the full chunk set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Groq llama-3.1-8b-instant (via LangChain) streams the answer over Server-Sent Events, grounded only in retrieved context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An ai.chat Kafka event is published on completion or failure, feeding AI usage analytics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UC-12  Report &amp; Summary Generation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Admin requests one of four report types for a given date: daily appointment summary, department utilization, patient engagement, or executive operational snapshot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Pre-computed statistics for that report type/date are looked up directly from pgvector (exact key lookup, not similarity search)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Prompt framing/labels are added only when the request is assembled; the LLM narrates a professional report using the exact numbers supplied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Missing cached statistics return HTTP 404 instructing the caller to run /ingest/sync first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UC-13  AI-Generated Patient/Staff Communications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Admin requests a follow-up message, service recommendation, preventive care suggestion, or operational assistance note for a specific patient, provider, or clinic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ai-service resolves the exact chunk for that entity and drafts the message with the appropriate prompt for the requested type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UC-14  Appointment Reminder Generation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Given structured appointment, patient, provider, and clinic details and a reminder type (day-before or hour-before), the LLM drafts a short, friendly reminder with no placeholders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UC-15  Knowledge Base Sync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Admin triggers /ingest/sync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ai-service pulls current patients, providers, appointments, clinics, and departments from their owning services and resolves names, DOB, department, and clinic details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Stale chunks per source are deleted before new ones are ingested; text is embedded with all-MiniLM-L6-v2 and stored in the ai_db pgvector store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Report statistic chunks for every distinct appointment date, plus department-utilization and patient-engagement summaries, are recomputed and stored in the same pass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UC-16  AI Usage &amp; Engagement Analytics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analytics-service consumes ai.chat / ai.communication / ai.report events from the ai.events Kafka topic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Redis counters and a persisted ai_interaction_events table are updated per event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GET /analytics/ai (admin-only) reports AI Assistant Usage, Questions Asked/Answered, and Generated Communication Usage by type</w:t>
      </w:r>
    </w:p>
    <w:p>
      <w:pPr>
        <w:spacing w:after="160" w:before="32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3. Functional Requirements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AI Chat &amp; Retrieval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FR-44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Admin-only /chat endpoint accepts a natural-language query and streams the answer via Server-Sent Events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FR-45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Query text is scanned for explicit entity references (patient/provider/clinic/department + numeric ID) before retrieval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FR-46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When an entity ID is detected, retrieval is filtered to sources matching that ID as a whole value, a prefix, a suffix, or a hyphen-guarded middle segment of a compound key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FR-47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When no entity ID is detected, retrieval falls back to pure cosine-similarity search over the full chunk set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FR-48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Retrieved chunks and their similarity scores are logged server-side for retrieval debugging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FR-49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The chat LLM is instructed to answer only from supplied context and to say so honestly when context is insufficient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Report &amp; Summary Generation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FR-50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/generate/report supports four report types: daily appointment summary, department utilization, patient engagement, executive operational snapshot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FR-51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All totals, counts, and percentages are pre-computed in Python and stored as pure-data chunks in pgvector; the LLM never performs arithmetic itself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FR-52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Prompt framing and section labels are applied only at request time when the LLM message is assembled, never persisted into the vector store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FR-53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Per-provider, per-department breakdowns are precomputed for daily reports so the LLM is not required to group or tally raw appointment lists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FR-54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The system prompt explicitly forbids the LLM from inventing patients, providers, or departments not present in the supplied data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FR-55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Requesting a report for a date/type with no cached statistics returns HTTP 404 instructing the caller to run /ingest/sync first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AI-Generated Communications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FR-56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/generate/communication supports four types: follow-up, service recommendation, preventive care, operational assistance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FR-57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Communication requests are scoped to a specific patient, provider, or clinic via an exact source lookup against the corresponding chunk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FR-58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/generate/reminder drafts a short reminder message (day-before or hour-before) from structured appointment, patient, provider, and clinic details, without placeholders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FR-59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Chat, report, and communication calls always record success/failure status as a Kafka event, even when the underlying LLM call fails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Knowledge Base Sync &amp; Data Ingestion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FR-60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/ingest/sync rebuilds chunks for every provider, patient, appointment, clinic, and department, combining IDs with resolved names (and DOB, department, clinic where relevant)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FR-61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Stale chunks for a source are deleted before new chunks for that source are ingested, preventing duplicate or outdated entries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FR-62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Text chunks are embedded with the all-MiniLM-L6-v2 sentence-transformer model before storage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FR-63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/ingest and /ingest/pdf allow ad hoc ingestion of arbitrary text and PDF documents into the same vector store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AI Analytics &amp; Observability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FR-64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Every /chat, /generate/communication, and /generate/report call publishes an ai.events Kafka event carrying event type, status, and user ID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FR-65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GET /analytics/ai (admin-only) returns AI Assistant Usage, Questions Asked/Answered, and Generated Communication Usage broken down by type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FR-66 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LangChain LLM calls are auto-instrumented via OpenTelemetry and exported to Jaeger for tracing of model latency, token usage, and errors</w:t>
      </w:r>
    </w:p>
    <w:p>
      <w:pPr>
        <w:spacing w:after="160" w:before="32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4. Non-Functional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6160"/>
      </w:tblGrid>
      <w:tr>
        <w:trPr>
          <w:tblHeader/>
        </w:trPr>
        <w:tc>
          <w:tcPr>
            <w:tcW w:type="dxa" w:w="1200"/>
            <w:shd w:fill="2E75B6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000"/>
            <w:shd w:fill="2E75B6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Category</w:t>
            </w:r>
          </w:p>
        </w:tc>
        <w:tc>
          <w:tcPr>
            <w:tcW w:type="dxa" w:w="6160"/>
            <w:shd w:fill="2E75B6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Requirement</w:t>
            </w:r>
          </w:p>
        </w:tc>
      </w:tr>
      <w:tr>
        <w:tc>
          <w:tcPr>
            <w:tcW w:type="dxa" w:w="12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NFR-12</w:t>
            </w:r>
          </w:p>
        </w:tc>
        <w:tc>
          <w:tcPr>
            <w:tcW w:type="dxa" w:w="20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Scalability</w:t>
            </w:r>
          </w:p>
        </w:tc>
        <w:tc>
          <w:tcPr>
            <w:tcW w:type="dxa" w:w="616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ai-service embedding/generation workloads run independently of core booking services and scale without affecting appointment/patient/provider throughput</w:t>
            </w:r>
          </w:p>
        </w:tc>
      </w:tr>
      <w:tr>
        <w:tc>
          <w:tcPr>
            <w:tcW w:type="dxa" w:w="12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NFR-13</w:t>
            </w:r>
          </w:p>
        </w:tc>
        <w:tc>
          <w:tcPr>
            <w:tcW w:type="dxa" w:w="20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Accuracy</w:t>
            </w:r>
          </w:p>
        </w:tc>
        <w:tc>
          <w:tcPr>
            <w:tcW w:type="dxa" w:w="616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Numeric values in generated reports must match Python-computed ground truth exactly; LLM output is never treated as the source of truth for counts</w:t>
            </w:r>
          </w:p>
        </w:tc>
      </w:tr>
      <w:tr>
        <w:tc>
          <w:tcPr>
            <w:tcW w:type="dxa" w:w="12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NFR-14</w:t>
            </w:r>
          </w:p>
        </w:tc>
        <w:tc>
          <w:tcPr>
            <w:tcW w:type="dxa" w:w="20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Data freshness</w:t>
            </w:r>
          </w:p>
        </w:tc>
        <w:tc>
          <w:tcPr>
            <w:tcW w:type="dxa" w:w="616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Knowledge base chunks reflect the state of patient/provider/appointment data as of the most recent /ingest/sync run</w:t>
            </w:r>
          </w:p>
        </w:tc>
      </w:tr>
      <w:tr>
        <w:tc>
          <w:tcPr>
            <w:tcW w:type="dxa" w:w="12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NFR-15</w:t>
            </w:r>
          </w:p>
        </w:tc>
        <w:tc>
          <w:tcPr>
            <w:tcW w:type="dxa" w:w="20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Auditability</w:t>
            </w:r>
          </w:p>
        </w:tc>
        <w:tc>
          <w:tcPr>
            <w:tcW w:type="dxa" w:w="616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Every AI interaction (chat, report, communication) is durably logged as a Kafka event and a database row, regardless of success or failure</w:t>
            </w:r>
          </w:p>
        </w:tc>
      </w:tr>
      <w:tr>
        <w:tc>
          <w:tcPr>
            <w:tcW w:type="dxa" w:w="12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NFR-16</w:t>
            </w:r>
          </w:p>
        </w:tc>
        <w:tc>
          <w:tcPr>
            <w:tcW w:type="dxa" w:w="20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Observability</w:t>
            </w:r>
          </w:p>
        </w:tc>
        <w:tc>
          <w:tcPr>
            <w:tcW w:type="dxa" w:w="616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LLM call latency, token counts, and errors are traceable end-to-end via OpenTelemetry/Jaeger without manual span instrumentation</w:t>
            </w:r>
          </w:p>
        </w:tc>
      </w:tr>
      <w:tr>
        <w:tc>
          <w:tcPr>
            <w:tcW w:type="dxa" w:w="12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NFR-17</w:t>
            </w:r>
          </w:p>
        </w:tc>
        <w:tc>
          <w:tcPr>
            <w:tcW w:type="dxa" w:w="20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Access control</w:t>
            </w:r>
          </w:p>
        </w:tc>
        <w:tc>
          <w:tcPr>
            <w:tcW w:type="dxa" w:w="616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All GenAI endpoints (chat, report, communication, reminder, AI analytics) are restricted to the admin role</w:t>
            </w:r>
          </w:p>
        </w:tc>
      </w:tr>
      <w:tr>
        <w:tc>
          <w:tcPr>
            <w:tcW w:type="dxa" w:w="12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NFR-18</w:t>
            </w:r>
          </w:p>
        </w:tc>
        <w:tc>
          <w:tcPr>
            <w:tcW w:type="dxa" w:w="20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Configurability</w:t>
            </w:r>
          </w:p>
        </w:tc>
        <w:tc>
          <w:tcPr>
            <w:tcW w:type="dxa" w:w="616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The Groq model identifier is externalised to an environment variable (GROQ_MODEL) so the underlying LLM can be swapped without code changes</w:t>
            </w:r>
          </w:p>
        </w:tc>
      </w:tr>
    </w:tbl>
    <w:p>
      <w:pPr>
        <w:spacing w:after="160" w:before="32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5. Delivery Timeline &amp; Milestones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900"/>
        <w:gridCol w:w="900"/>
        <w:gridCol w:w="1300"/>
        <w:gridCol w:w="1620"/>
        <w:gridCol w:w="1820"/>
        <w:gridCol w:w="1720"/>
      </w:tblGrid>
      <w:tr>
        <w:trPr>
          <w:tblHeader/>
        </w:trPr>
        <w:tc>
          <w:tcPr>
            <w:tcW w:type="dxa" w:w="1100"/>
            <w:shd w:fill="2E75B6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Milestone</w:t>
            </w:r>
          </w:p>
        </w:tc>
        <w:tc>
          <w:tcPr>
            <w:tcW w:type="dxa" w:w="900"/>
            <w:shd w:fill="2E75B6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Week</w:t>
            </w:r>
          </w:p>
        </w:tc>
        <w:tc>
          <w:tcPr>
            <w:tcW w:type="dxa" w:w="900"/>
            <w:shd w:fill="2E75B6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Part</w:t>
            </w:r>
          </w:p>
        </w:tc>
        <w:tc>
          <w:tcPr>
            <w:tcW w:type="dxa" w:w="1300"/>
            <w:shd w:fill="2E75B6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% Alloc.</w:t>
            </w:r>
          </w:p>
        </w:tc>
        <w:tc>
          <w:tcPr>
            <w:tcW w:type="dxa" w:w="1620"/>
            <w:shd w:fill="2E75B6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Expected Start</w:t>
            </w:r>
          </w:p>
        </w:tc>
        <w:tc>
          <w:tcPr>
            <w:tcW w:type="dxa" w:w="1820"/>
            <w:shd w:fill="2E75B6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Expected End</w:t>
            </w:r>
          </w:p>
        </w:tc>
        <w:tc>
          <w:tcPr>
            <w:tcW w:type="dxa" w:w="1720"/>
            <w:shd w:fill="2E75B6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Actual Completion</w:t>
            </w:r>
          </w:p>
        </w:tc>
      </w:tr>
      <w:tr>
        <w:tc>
          <w:tcPr>
            <w:tcW w:type="dxa" w:w="11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Part B</w:t>
            </w:r>
          </w:p>
        </w:tc>
        <w:tc>
          <w:tcPr>
            <w:tcW w:type="dxa" w:w="9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Week 4</w:t>
            </w:r>
          </w:p>
        </w:tc>
        <w:tc>
          <w:tcPr>
            <w:tcW w:type="dxa" w:w="9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Part B</w:t>
            </w:r>
          </w:p>
        </w:tc>
        <w:tc>
          <w:tcPr>
            <w:tcW w:type="dxa" w:w="13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1</w:t>
            </w:r>
          </w:p>
        </w:tc>
        <w:tc>
          <w:tcPr>
            <w:tcW w:type="dxa" w:w="162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27-Jul-2026</w:t>
            </w:r>
          </w:p>
        </w:tc>
        <w:tc>
          <w:tcPr>
            <w:tcW w:type="dxa" w:w="182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03-Aug-2026</w:t>
            </w:r>
          </w:p>
        </w:tc>
        <w:tc>
          <w:tcPr>
            <w:tcW w:type="dxa" w:w="172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29-Jul-2026</w:t>
            </w:r>
          </w:p>
        </w:tc>
      </w:tr>
      <w:tr>
        <w:tc>
          <w:tcPr>
            <w:tcW w:type="dxa" w:w="11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Part B</w:t>
            </w:r>
          </w:p>
        </w:tc>
        <w:tc>
          <w:tcPr>
            <w:tcW w:type="dxa" w:w="9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Week 5</w:t>
            </w:r>
          </w:p>
        </w:tc>
        <w:tc>
          <w:tcPr>
            <w:tcW w:type="dxa" w:w="9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Part B</w:t>
            </w:r>
          </w:p>
        </w:tc>
        <w:tc>
          <w:tcPr>
            <w:tcW w:type="dxa" w:w="13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1</w:t>
            </w:r>
          </w:p>
        </w:tc>
        <w:tc>
          <w:tcPr>
            <w:tcW w:type="dxa" w:w="162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03-Aug-2026</w:t>
            </w:r>
          </w:p>
        </w:tc>
        <w:tc>
          <w:tcPr>
            <w:tcW w:type="dxa" w:w="182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10-Aug-2026</w:t>
            </w:r>
          </w:p>
        </w:tc>
        <w:tc>
          <w:tcPr>
            <w:tcW w:type="dxa" w:w="172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06-Aug-2026</w:t>
            </w:r>
          </w:p>
        </w:tc>
      </w:tr>
    </w:tbl>
    <w:p>
      <w:pPr>
        <w:spacing w:before="120"/>
      </w:pPr>
      <w:r>
        <w:rPr>
          <w:rFonts w:ascii="Calibri" w:cs="Calibri" w:eastAsia="Calibri" w:hAnsi="Calibri"/>
          <w:b/>
          <w:bCs/>
          <w:color w:val="1F4E79"/>
          <w:sz w:val="21"/>
          <w:szCs w:val="21"/>
        </w:rPr>
        <w:t xml:space="preserve">Week 4 — 27-Jul-2026 to 03-Aug-2026 (completed 29-Jul-2026)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Built the RAG chat pipeline: pgvector store, all-MiniLM-L6-v2 embeddings, /chat with SSE streaming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Added entity-aware retrieval: source_prefix extraction from queries, boundary-safe chunk filtering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Built /generate/report: deterministic Python statistics stored as pure-data chunks, prompt framing applied only at request time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Fixed LLM hallucination issues (miscounted totals, invented providers) by removing distractor data and precomputing breakdowns</w:t>
      </w:r>
    </w:p>
    <w:p>
      <w:pPr>
        <w:spacing w:before="120"/>
      </w:pPr>
      <w:r>
        <w:rPr>
          <w:rFonts w:ascii="Calibri" w:cs="Calibri" w:eastAsia="Calibri" w:hAnsi="Calibri"/>
          <w:b/>
          <w:bCs/>
          <w:color w:val="1F4E79"/>
          <w:sz w:val="21"/>
          <w:szCs w:val="21"/>
        </w:rPr>
        <w:t xml:space="preserve">Week 5 — 03-Aug-2026 to 10-Aug-2026 (completed 06-Aug-2026)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Wired /generate/communication and /generate/reminder to real chunk data with per-entity scoping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Extended /ingest/sync to precompute and store report statistic chunks alongside entity chunks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Added OpenTelemetry auto-instrumentation for LangChain LLM calls, exported to Jaeger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Added ai.events Kafka topic, analytics-service consumer, and GET /analytics/ai (AI Assistant Usage, Questions Asked/Answered, Generated Communication Usage)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Externalised the Groq model identifier to the GROQ_MODEL environment variable</w:t>
      </w:r>
    </w:p>
    <w:p>
      <w:pPr>
        <w:spacing w:after="160" w:before="32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6. Traceability Matrix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100"/>
        <w:gridCol w:w="1260"/>
        <w:gridCol w:w="2500"/>
        <w:gridCol w:w="1600"/>
      </w:tblGrid>
      <w:tr>
        <w:trPr>
          <w:tblHeader/>
        </w:trPr>
        <w:tc>
          <w:tcPr>
            <w:tcW w:type="dxa" w:w="900"/>
            <w:shd w:fill="2E75B6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FR ID</w:t>
            </w:r>
          </w:p>
        </w:tc>
        <w:tc>
          <w:tcPr>
            <w:tcW w:type="dxa" w:w="3100"/>
            <w:shd w:fill="2E75B6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Requirement Summary</w:t>
            </w:r>
          </w:p>
        </w:tc>
        <w:tc>
          <w:tcPr>
            <w:tcW w:type="dxa" w:w="1260"/>
            <w:shd w:fill="2E75B6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Use Case(s)</w:t>
            </w:r>
          </w:p>
        </w:tc>
        <w:tc>
          <w:tcPr>
            <w:tcW w:type="dxa" w:w="2500"/>
            <w:shd w:fill="2E75B6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Service(s)</w:t>
            </w:r>
          </w:p>
        </w:tc>
        <w:tc>
          <w:tcPr>
            <w:tcW w:type="dxa" w:w="1600"/>
            <w:shd w:fill="2E75B6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Week</w:t>
            </w:r>
          </w:p>
        </w:tc>
      </w:tr>
      <w:tr>
        <w:tc>
          <w:tcPr>
            <w:tcW w:type="dxa" w:w="9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FR-44</w:t>
            </w:r>
          </w:p>
        </w:tc>
        <w:tc>
          <w:tcPr>
            <w:tcW w:type="dxa" w:w="31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SSE-streamed chat endpoint</w:t>
            </w:r>
          </w:p>
        </w:tc>
        <w:tc>
          <w:tcPr>
            <w:tcW w:type="dxa" w:w="126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UC-11</w:t>
            </w:r>
          </w:p>
        </w:tc>
        <w:tc>
          <w:tcPr>
            <w:tcW w:type="dxa" w:w="25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ai-service</w:t>
            </w:r>
          </w:p>
        </w:tc>
        <w:tc>
          <w:tcPr>
            <w:tcW w:type="dxa" w:w="16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Week 4</w:t>
            </w:r>
          </w:p>
        </w:tc>
      </w:tr>
      <w:tr>
        <w:tc>
          <w:tcPr>
            <w:tcW w:type="dxa" w:w="9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FR-45</w:t>
            </w:r>
          </w:p>
        </w:tc>
        <w:tc>
          <w:tcPr>
            <w:tcW w:type="dxa" w:w="31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Entity reference detection in queries</w:t>
            </w:r>
          </w:p>
        </w:tc>
        <w:tc>
          <w:tcPr>
            <w:tcW w:type="dxa" w:w="126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UC-11</w:t>
            </w:r>
          </w:p>
        </w:tc>
        <w:tc>
          <w:tcPr>
            <w:tcW w:type="dxa" w:w="25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ai-service</w:t>
            </w:r>
          </w:p>
        </w:tc>
        <w:tc>
          <w:tcPr>
            <w:tcW w:type="dxa" w:w="16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Week 4</w:t>
            </w:r>
          </w:p>
        </w:tc>
      </w:tr>
      <w:tr>
        <w:tc>
          <w:tcPr>
            <w:tcW w:type="dxa" w:w="9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FR-46</w:t>
            </w:r>
          </w:p>
        </w:tc>
        <w:tc>
          <w:tcPr>
            <w:tcW w:type="dxa" w:w="31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Boundary-safe entity chunk filtering</w:t>
            </w:r>
          </w:p>
        </w:tc>
        <w:tc>
          <w:tcPr>
            <w:tcW w:type="dxa" w:w="126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UC-11</w:t>
            </w:r>
          </w:p>
        </w:tc>
        <w:tc>
          <w:tcPr>
            <w:tcW w:type="dxa" w:w="25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ai-service</w:t>
            </w:r>
          </w:p>
        </w:tc>
        <w:tc>
          <w:tcPr>
            <w:tcW w:type="dxa" w:w="16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Week 4</w:t>
            </w:r>
          </w:p>
        </w:tc>
      </w:tr>
      <w:tr>
        <w:tc>
          <w:tcPr>
            <w:tcW w:type="dxa" w:w="9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FR-47</w:t>
            </w:r>
          </w:p>
        </w:tc>
        <w:tc>
          <w:tcPr>
            <w:tcW w:type="dxa" w:w="31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Cosine-similarity fallback retrieval</w:t>
            </w:r>
          </w:p>
        </w:tc>
        <w:tc>
          <w:tcPr>
            <w:tcW w:type="dxa" w:w="126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UC-11</w:t>
            </w:r>
          </w:p>
        </w:tc>
        <w:tc>
          <w:tcPr>
            <w:tcW w:type="dxa" w:w="25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ai-service</w:t>
            </w:r>
          </w:p>
        </w:tc>
        <w:tc>
          <w:tcPr>
            <w:tcW w:type="dxa" w:w="16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Week 4</w:t>
            </w:r>
          </w:p>
        </w:tc>
      </w:tr>
      <w:tr>
        <w:tc>
          <w:tcPr>
            <w:tcW w:type="dxa" w:w="9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FR-48</w:t>
            </w:r>
          </w:p>
        </w:tc>
        <w:tc>
          <w:tcPr>
            <w:tcW w:type="dxa" w:w="31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Retrieval debug logging</w:t>
            </w:r>
          </w:p>
        </w:tc>
        <w:tc>
          <w:tcPr>
            <w:tcW w:type="dxa" w:w="126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UC-11</w:t>
            </w:r>
          </w:p>
        </w:tc>
        <w:tc>
          <w:tcPr>
            <w:tcW w:type="dxa" w:w="25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ai-service</w:t>
            </w:r>
          </w:p>
        </w:tc>
        <w:tc>
          <w:tcPr>
            <w:tcW w:type="dxa" w:w="16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Week 4</w:t>
            </w:r>
          </w:p>
        </w:tc>
      </w:tr>
      <w:tr>
        <w:tc>
          <w:tcPr>
            <w:tcW w:type="dxa" w:w="9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FR-49</w:t>
            </w:r>
          </w:p>
        </w:tc>
        <w:tc>
          <w:tcPr>
            <w:tcW w:type="dxa" w:w="31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Context-grounded chat answers</w:t>
            </w:r>
          </w:p>
        </w:tc>
        <w:tc>
          <w:tcPr>
            <w:tcW w:type="dxa" w:w="126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UC-11</w:t>
            </w:r>
          </w:p>
        </w:tc>
        <w:tc>
          <w:tcPr>
            <w:tcW w:type="dxa" w:w="25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ai-service</w:t>
            </w:r>
          </w:p>
        </w:tc>
        <w:tc>
          <w:tcPr>
            <w:tcW w:type="dxa" w:w="16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Week 4</w:t>
            </w:r>
          </w:p>
        </w:tc>
      </w:tr>
      <w:tr>
        <w:tc>
          <w:tcPr>
            <w:tcW w:type="dxa" w:w="9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FR-50</w:t>
            </w:r>
          </w:p>
        </w:tc>
        <w:tc>
          <w:tcPr>
            <w:tcW w:type="dxa" w:w="31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Four report types</w:t>
            </w:r>
          </w:p>
        </w:tc>
        <w:tc>
          <w:tcPr>
            <w:tcW w:type="dxa" w:w="126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UC-12</w:t>
            </w:r>
          </w:p>
        </w:tc>
        <w:tc>
          <w:tcPr>
            <w:tcW w:type="dxa" w:w="25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ai-service</w:t>
            </w:r>
          </w:p>
        </w:tc>
        <w:tc>
          <w:tcPr>
            <w:tcW w:type="dxa" w:w="16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Week 4</w:t>
            </w:r>
          </w:p>
        </w:tc>
      </w:tr>
      <w:tr>
        <w:tc>
          <w:tcPr>
            <w:tcW w:type="dxa" w:w="9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FR-51</w:t>
            </w:r>
          </w:p>
        </w:tc>
        <w:tc>
          <w:tcPr>
            <w:tcW w:type="dxa" w:w="31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Deterministic pre-computed statistics</w:t>
            </w:r>
          </w:p>
        </w:tc>
        <w:tc>
          <w:tcPr>
            <w:tcW w:type="dxa" w:w="126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UC-12</w:t>
            </w:r>
          </w:p>
        </w:tc>
        <w:tc>
          <w:tcPr>
            <w:tcW w:type="dxa" w:w="25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ai-service</w:t>
            </w:r>
          </w:p>
        </w:tc>
        <w:tc>
          <w:tcPr>
            <w:tcW w:type="dxa" w:w="16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Week 4</w:t>
            </w:r>
          </w:p>
        </w:tc>
      </w:tr>
      <w:tr>
        <w:tc>
          <w:tcPr>
            <w:tcW w:type="dxa" w:w="9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FR-52</w:t>
            </w:r>
          </w:p>
        </w:tc>
        <w:tc>
          <w:tcPr>
            <w:tcW w:type="dxa" w:w="31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Prompt framing applied only at request time</w:t>
            </w:r>
          </w:p>
        </w:tc>
        <w:tc>
          <w:tcPr>
            <w:tcW w:type="dxa" w:w="126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UC-12</w:t>
            </w:r>
          </w:p>
        </w:tc>
        <w:tc>
          <w:tcPr>
            <w:tcW w:type="dxa" w:w="25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ai-service</w:t>
            </w:r>
          </w:p>
        </w:tc>
        <w:tc>
          <w:tcPr>
            <w:tcW w:type="dxa" w:w="16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Week 4</w:t>
            </w:r>
          </w:p>
        </w:tc>
      </w:tr>
      <w:tr>
        <w:tc>
          <w:tcPr>
            <w:tcW w:type="dxa" w:w="9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FR-53</w:t>
            </w:r>
          </w:p>
        </w:tc>
        <w:tc>
          <w:tcPr>
            <w:tcW w:type="dxa" w:w="31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Precomputed provider/department breakdowns</w:t>
            </w:r>
          </w:p>
        </w:tc>
        <w:tc>
          <w:tcPr>
            <w:tcW w:type="dxa" w:w="126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UC-12</w:t>
            </w:r>
          </w:p>
        </w:tc>
        <w:tc>
          <w:tcPr>
            <w:tcW w:type="dxa" w:w="25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ai-service</w:t>
            </w:r>
          </w:p>
        </w:tc>
        <w:tc>
          <w:tcPr>
            <w:tcW w:type="dxa" w:w="16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Week 4</w:t>
            </w:r>
          </w:p>
        </w:tc>
      </w:tr>
      <w:tr>
        <w:tc>
          <w:tcPr>
            <w:tcW w:type="dxa" w:w="9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FR-54</w:t>
            </w:r>
          </w:p>
        </w:tc>
        <w:tc>
          <w:tcPr>
            <w:tcW w:type="dxa" w:w="31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Anti-fabrication system prompt rule</w:t>
            </w:r>
          </w:p>
        </w:tc>
        <w:tc>
          <w:tcPr>
            <w:tcW w:type="dxa" w:w="126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UC-12</w:t>
            </w:r>
          </w:p>
        </w:tc>
        <w:tc>
          <w:tcPr>
            <w:tcW w:type="dxa" w:w="25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ai-service</w:t>
            </w:r>
          </w:p>
        </w:tc>
        <w:tc>
          <w:tcPr>
            <w:tcW w:type="dxa" w:w="16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Week 4</w:t>
            </w:r>
          </w:p>
        </w:tc>
      </w:tr>
      <w:tr>
        <w:tc>
          <w:tcPr>
            <w:tcW w:type="dxa" w:w="9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FR-55</w:t>
            </w:r>
          </w:p>
        </w:tc>
        <w:tc>
          <w:tcPr>
            <w:tcW w:type="dxa" w:w="31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404 on missing cached report data</w:t>
            </w:r>
          </w:p>
        </w:tc>
        <w:tc>
          <w:tcPr>
            <w:tcW w:type="dxa" w:w="126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UC-12</w:t>
            </w:r>
          </w:p>
        </w:tc>
        <w:tc>
          <w:tcPr>
            <w:tcW w:type="dxa" w:w="25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ai-service</w:t>
            </w:r>
          </w:p>
        </w:tc>
        <w:tc>
          <w:tcPr>
            <w:tcW w:type="dxa" w:w="16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Week 4</w:t>
            </w:r>
          </w:p>
        </w:tc>
      </w:tr>
      <w:tr>
        <w:tc>
          <w:tcPr>
            <w:tcW w:type="dxa" w:w="9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FR-56</w:t>
            </w:r>
          </w:p>
        </w:tc>
        <w:tc>
          <w:tcPr>
            <w:tcW w:type="dxa" w:w="31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Four communication types</w:t>
            </w:r>
          </w:p>
        </w:tc>
        <w:tc>
          <w:tcPr>
            <w:tcW w:type="dxa" w:w="126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UC-13</w:t>
            </w:r>
          </w:p>
        </w:tc>
        <w:tc>
          <w:tcPr>
            <w:tcW w:type="dxa" w:w="25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ai-service</w:t>
            </w:r>
          </w:p>
        </w:tc>
        <w:tc>
          <w:tcPr>
            <w:tcW w:type="dxa" w:w="16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Week 5</w:t>
            </w:r>
          </w:p>
        </w:tc>
      </w:tr>
      <w:tr>
        <w:tc>
          <w:tcPr>
            <w:tcW w:type="dxa" w:w="9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FR-57</w:t>
            </w:r>
          </w:p>
        </w:tc>
        <w:tc>
          <w:tcPr>
            <w:tcW w:type="dxa" w:w="31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Exact per-entity chunk lookup</w:t>
            </w:r>
          </w:p>
        </w:tc>
        <w:tc>
          <w:tcPr>
            <w:tcW w:type="dxa" w:w="126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UC-13</w:t>
            </w:r>
          </w:p>
        </w:tc>
        <w:tc>
          <w:tcPr>
            <w:tcW w:type="dxa" w:w="25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ai-service</w:t>
            </w:r>
          </w:p>
        </w:tc>
        <w:tc>
          <w:tcPr>
            <w:tcW w:type="dxa" w:w="16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Week 5</w:t>
            </w:r>
          </w:p>
        </w:tc>
      </w:tr>
      <w:tr>
        <w:tc>
          <w:tcPr>
            <w:tcW w:type="dxa" w:w="9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FR-58</w:t>
            </w:r>
          </w:p>
        </w:tc>
        <w:tc>
          <w:tcPr>
            <w:tcW w:type="dxa" w:w="31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Placeholder-free reminder drafting</w:t>
            </w:r>
          </w:p>
        </w:tc>
        <w:tc>
          <w:tcPr>
            <w:tcW w:type="dxa" w:w="126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UC-14</w:t>
            </w:r>
          </w:p>
        </w:tc>
        <w:tc>
          <w:tcPr>
            <w:tcW w:type="dxa" w:w="25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ai-service</w:t>
            </w:r>
          </w:p>
        </w:tc>
        <w:tc>
          <w:tcPr>
            <w:tcW w:type="dxa" w:w="16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Week 5</w:t>
            </w:r>
          </w:p>
        </w:tc>
      </w:tr>
      <w:tr>
        <w:tc>
          <w:tcPr>
            <w:tcW w:type="dxa" w:w="9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FR-59</w:t>
            </w:r>
          </w:p>
        </w:tc>
        <w:tc>
          <w:tcPr>
            <w:tcW w:type="dxa" w:w="31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Always-recorded call status events</w:t>
            </w:r>
          </w:p>
        </w:tc>
        <w:tc>
          <w:tcPr>
            <w:tcW w:type="dxa" w:w="126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UC-12, UC-13</w:t>
            </w:r>
          </w:p>
        </w:tc>
        <w:tc>
          <w:tcPr>
            <w:tcW w:type="dxa" w:w="25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ai-service, analytics-service</w:t>
            </w:r>
          </w:p>
        </w:tc>
        <w:tc>
          <w:tcPr>
            <w:tcW w:type="dxa" w:w="16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Week 5</w:t>
            </w:r>
          </w:p>
        </w:tc>
      </w:tr>
      <w:tr>
        <w:tc>
          <w:tcPr>
            <w:tcW w:type="dxa" w:w="9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FR-60</w:t>
            </w:r>
          </w:p>
        </w:tc>
        <w:tc>
          <w:tcPr>
            <w:tcW w:type="dxa" w:w="31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Name/DOB/department-resolved chunk sync</w:t>
            </w:r>
          </w:p>
        </w:tc>
        <w:tc>
          <w:tcPr>
            <w:tcW w:type="dxa" w:w="126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UC-15</w:t>
            </w:r>
          </w:p>
        </w:tc>
        <w:tc>
          <w:tcPr>
            <w:tcW w:type="dxa" w:w="25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ai-service, provider-service, patient-service, appointment-service, auth-service</w:t>
            </w:r>
          </w:p>
        </w:tc>
        <w:tc>
          <w:tcPr>
            <w:tcW w:type="dxa" w:w="16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Week 5</w:t>
            </w:r>
          </w:p>
        </w:tc>
      </w:tr>
      <w:tr>
        <w:tc>
          <w:tcPr>
            <w:tcW w:type="dxa" w:w="9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FR-61</w:t>
            </w:r>
          </w:p>
        </w:tc>
        <w:tc>
          <w:tcPr>
            <w:tcW w:type="dxa" w:w="31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Stale chunk deletion before re-ingest</w:t>
            </w:r>
          </w:p>
        </w:tc>
        <w:tc>
          <w:tcPr>
            <w:tcW w:type="dxa" w:w="126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UC-15</w:t>
            </w:r>
          </w:p>
        </w:tc>
        <w:tc>
          <w:tcPr>
            <w:tcW w:type="dxa" w:w="25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ai-service</w:t>
            </w:r>
          </w:p>
        </w:tc>
        <w:tc>
          <w:tcPr>
            <w:tcW w:type="dxa" w:w="16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Week 5</w:t>
            </w:r>
          </w:p>
        </w:tc>
      </w:tr>
      <w:tr>
        <w:tc>
          <w:tcPr>
            <w:tcW w:type="dxa" w:w="9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FR-62</w:t>
            </w:r>
          </w:p>
        </w:tc>
        <w:tc>
          <w:tcPr>
            <w:tcW w:type="dxa" w:w="31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all-MiniLM-L6-v2 embeddings</w:t>
            </w:r>
          </w:p>
        </w:tc>
        <w:tc>
          <w:tcPr>
            <w:tcW w:type="dxa" w:w="126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UC-15</w:t>
            </w:r>
          </w:p>
        </w:tc>
        <w:tc>
          <w:tcPr>
            <w:tcW w:type="dxa" w:w="25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ai-service</w:t>
            </w:r>
          </w:p>
        </w:tc>
        <w:tc>
          <w:tcPr>
            <w:tcW w:type="dxa" w:w="16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Week 4</w:t>
            </w:r>
          </w:p>
        </w:tc>
      </w:tr>
      <w:tr>
        <w:tc>
          <w:tcPr>
            <w:tcW w:type="dxa" w:w="9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FR-63</w:t>
            </w:r>
          </w:p>
        </w:tc>
        <w:tc>
          <w:tcPr>
            <w:tcW w:type="dxa" w:w="31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Ad hoc text/PDF ingestion</w:t>
            </w:r>
          </w:p>
        </w:tc>
        <w:tc>
          <w:tcPr>
            <w:tcW w:type="dxa" w:w="126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UC-15</w:t>
            </w:r>
          </w:p>
        </w:tc>
        <w:tc>
          <w:tcPr>
            <w:tcW w:type="dxa" w:w="25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ai-service</w:t>
            </w:r>
          </w:p>
        </w:tc>
        <w:tc>
          <w:tcPr>
            <w:tcW w:type="dxa" w:w="16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Week 4</w:t>
            </w:r>
          </w:p>
        </w:tc>
      </w:tr>
      <w:tr>
        <w:tc>
          <w:tcPr>
            <w:tcW w:type="dxa" w:w="9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FR-64</w:t>
            </w:r>
          </w:p>
        </w:tc>
        <w:tc>
          <w:tcPr>
            <w:tcW w:type="dxa" w:w="31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ai.events Kafka publishing</w:t>
            </w:r>
          </w:p>
        </w:tc>
        <w:tc>
          <w:tcPr>
            <w:tcW w:type="dxa" w:w="126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UC-16</w:t>
            </w:r>
          </w:p>
        </w:tc>
        <w:tc>
          <w:tcPr>
            <w:tcW w:type="dxa" w:w="25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ai-service, analytics-service</w:t>
            </w:r>
          </w:p>
        </w:tc>
        <w:tc>
          <w:tcPr>
            <w:tcW w:type="dxa" w:w="16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Week 5</w:t>
            </w:r>
          </w:p>
        </w:tc>
      </w:tr>
      <w:tr>
        <w:tc>
          <w:tcPr>
            <w:tcW w:type="dxa" w:w="9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FR-65</w:t>
            </w:r>
          </w:p>
        </w:tc>
        <w:tc>
          <w:tcPr>
            <w:tcW w:type="dxa" w:w="31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GET /analytics/ai endpoint</w:t>
            </w:r>
          </w:p>
        </w:tc>
        <w:tc>
          <w:tcPr>
            <w:tcW w:type="dxa" w:w="126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UC-16</w:t>
            </w:r>
          </w:p>
        </w:tc>
        <w:tc>
          <w:tcPr>
            <w:tcW w:type="dxa" w:w="25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analytics-service</w:t>
            </w:r>
          </w:p>
        </w:tc>
        <w:tc>
          <w:tcPr>
            <w:tcW w:type="dxa" w:w="1600"/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Week 5</w:t>
            </w:r>
          </w:p>
        </w:tc>
      </w:tr>
      <w:tr>
        <w:tc>
          <w:tcPr>
            <w:tcW w:type="dxa" w:w="9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FR-66</w:t>
            </w:r>
          </w:p>
        </w:tc>
        <w:tc>
          <w:tcPr>
            <w:tcW w:type="dxa" w:w="31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OpenTelemetry/Jaeger LLM tracing</w:t>
            </w:r>
          </w:p>
        </w:tc>
        <w:tc>
          <w:tcPr>
            <w:tcW w:type="dxa" w:w="126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UC-11, UC-12, UC-13</w:t>
            </w:r>
          </w:p>
        </w:tc>
        <w:tc>
          <w:tcPr>
            <w:tcW w:type="dxa" w:w="25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ai-service</w:t>
            </w:r>
          </w:p>
        </w:tc>
        <w:tc>
          <w:tcPr>
            <w:tcW w:type="dxa" w:w="1600"/>
            <w:shd w:fill="D6E4F0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19"/>
                <w:szCs w:val="19"/>
              </w:rPr>
              <w:t xml:space="preserve">Week 5</w:t>
            </w:r>
          </w:p>
        </w:tc>
      </w:tr>
    </w:tbl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2026-08-06T16:17:05.456Z</dcterms:created>
  <dcterms:modified xsi:type="dcterms:W3CDTF">2026-08-06T16:17:05.456Z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