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64"/>
          <w:szCs w:val="64"/>
        </w:rPr>
        <w:t xml:space="preserve">SmartHealth</w:t>
      </w:r>
    </w:p>
    <w:p>
      <w:pPr>
        <w:spacing w:before="120"/>
        <w:jc w:val="center"/>
      </w:pPr>
      <w:r>
        <w:rPr>
          <w:rFonts w:ascii="Calibri" w:cs="Calibri" w:eastAsia="Calibri" w:hAnsi="Calibri"/>
          <w:color w:val="2E75B6"/>
          <w:sz w:val="36"/>
          <w:szCs w:val="36"/>
        </w:rPr>
        <w:t xml:space="preserve">Intelligent Healthcare Operations Platform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666666"/>
          <w:sz w:val="26"/>
          <w:szCs w:val="26"/>
        </w:rPr>
        <w:t xml:space="preserve">Product Requirements Document  —  Part B</w:t>
      </w:r>
    </w:p>
    <w:p>
      <w:pPr>
        <w:spacing w:before="6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Gulsicka  |  August 2026</w:t>
      </w:r>
    </w:p>
    <w:p>
      <w:r>
        <w:br w:type="pag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Product Overview</w:t>
      </w:r>
    </w:p>
    <w:p>
      <w:pPr>
        <w:spacing w:after="80" w:before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Part B extends SmartHealth with a GenAI layer delivered as a new ai-service microservice. It adds admin-facing conversational AI over the platform's own data, automated report and summary generation, AI-drafted patient/staff communications, and the analytics needed to measure how the AI layer is used — all built on top of the services delivered in Part A.</w:t>
      </w:r>
    </w:p>
    <w:p>
      <w:pPr>
        <w:spacing w:after="80" w:before="80"/>
      </w:pPr>
      <w:r>
        <w:rPr>
          <w:rFonts w:ascii="Calibri" w:cs="Calibri" w:eastAsia="Calibri" w:hAnsi="Calibri"/>
          <w:color w:val="222222"/>
          <w:sz w:val="20"/>
          <w:szCs w:val="20"/>
        </w:rPr>
        <w:t>The design follows one governing principle throughout: the LLM is used for language, never for arithmetic. All totals, counts, and percentages are computed deterministically in Python at request time; the LLM only narrates from those verified numbers via a shared tool-calling agent, and pgvector is scoped to store only ingested document content — never entity or report data.</w:t>
      </w:r>
    </w:p>
    <w:p>
      <w:pPr>
        <w:spacing w:before="12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New 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>ai-service — retrieval-augmented chat, report generation, AI-drafted communications, document ingestion, all backed by pgvector and a shared agentic tool-calling loop</w:t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Key Use Cases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UC-11  AI Chat Assistant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Admin submits a natural-language question to /chat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>ai-service binds a scoped tool library to the LLM — single-entity lookups (patient, provider, clinic, department, user, appointment), appointment-by-patient/provider/clinic lookups, and a document-search tool — and the model decides which to call for a given question, instead of the query being parsed for an entity ID up front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>The answer streams over Server-Sent Events via a shared ReAct tool-calling loop (also used by /generate/communication and /generate/report); every round is streamed live, including visible "[calling get_patient...]" status events, so tool calls are visible as they happen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>Any ID surfaced by a tool result (department_id, user_id, clinic_id) is resolved through the matching tool before being shown to the user; the underlying Groq model is configurable via the GROQ_MODEL environment variable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An ai.chat Kafka event is published on completion or failure, feeding AI usage analytics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UC-12  Report &amp; Summary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Admin requests one of four report types for a given date: daily appointment summary, department utilization, patient engagement, or executive operational snapshot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>Each report type has a dedicated tool (e.g. get_daily_appointment_stats, get_department_utilization_stats) that fetches live data from provider-service, patient-service, appointment-service, and auth-service and computes the exact statistics in Python at request time — nothing is cached or precomputed ahead of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>The report agent is required to call the relevant stats tool first and use its numbers exactly as returned; the LLM only narrates the report, it never calculates, estimates, or re-derives a total or percentage itself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>Because statistics are computed live per request, there is no ingestion step or staleness window for report data — numbers always reflect the current state of the underlying services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UC-13  AI-Generated Patient/Staff Communications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Admin requests a follow-up message, service recommendation, preventive care suggestion, or operational assistance note for a specific patient, provider, or clinic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>The requested patient_id, provider_id, or clinic_id is passed to the same shared tool-calling agent as an instruction; the agent uses its entity lookup tools to fetch the real, current record and drafts the message from that live data — no pre-synced data involved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UC-14  Appointment Reminder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Given structured appointment, patient, provider, and clinic details and a reminder type (day-before or hour-before), the LLM drafts a short, friendly reminder with no placeholders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>Day-before and hour-before reminders are scheduled automatically via Temporal Schedules — a one-shot workflow is scheduled to fire at the exact reminder time when an appointment is created, and the schedule is cancelled if the appointment is later cancelled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>UC-15  Document Ingestion &amp; Retrieval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>Admin uploads a PDF via /ingest/pdf (or raw text via /ingest); pgvector stores only this ingested document content — no entity or report data is pre-synced into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>PDF ingestion runs as a Temporal workflow (PdfIngestionWorkflow) with one activity per page, so parsing/embedding is retried per page and a single bad page doesn't fail the whole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>Each page is hashed and diffed against what's already stored: unchanged pages are skipped, changed pages have their old chunks replaced in one transaction, and pages removed from a shorter re-upload are cleaned up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>Ingested content is retrieved by the chat/communication/report agent via a search_documents tool (cosine-similarity search), used for general hospital-knowledge questions rather than entity data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UC-16  AI Usage &amp; Engagement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analytics-service consumes ai.chat / ai.communication / ai.report events from the ai.events Kafka topic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Redis counters and a persisted ai_interaction_events table are updated per event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GET /analytics/ai (admin-only) reports AI Assistant Usage, Questions Asked/Answered, and Generated Communication Usage by type</w:t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Functional Requirements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AI Chat &amp; Retrieval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FR-44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Admin-only /chat endpoint accepts a natural-language query and streams the answer via Server-Sent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FR-45  </w:t>
      </w:r>
      <w:r>
        <w:rPr>
          <w:rFonts w:ascii="Calibri" w:cs="Calibri" w:eastAsia="Calibri" w:hAnsi="Calibri"/>
          <w:color w:val="222222"/>
          <w:sz w:val="20"/>
          <w:szCs w:val="20"/>
        </w:rPr>
        <w:t>A scoped tool library (single-entity lookups only — patient, provider, clinic, department, user, appointment — never bulk/raw dumps) is bound to the LLM; the model decides which tool(s) to call for a given question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FR-46  </w:t>
      </w:r>
      <w:r>
        <w:rPr>
          <w:rFonts w:ascii="Calibri" w:cs="Calibri" w:eastAsia="Calibri" w:hAnsi="Calibri"/>
          <w:color w:val="222222"/>
          <w:sz w:val="20"/>
          <w:szCs w:val="20"/>
        </w:rPr>
        <w:t>A shared ReAct tool-calling loop is used by /chat, /generate/communication, and /generate/report, eliminating duplicated agent logic across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FR-47  </w:t>
      </w:r>
      <w:r>
        <w:rPr>
          <w:rFonts w:ascii="Calibri" w:cs="Calibri" w:eastAsia="Calibri" w:hAnsi="Calibri"/>
          <w:color w:val="222222"/>
          <w:sz w:val="20"/>
          <w:szCs w:val="20"/>
        </w:rPr>
        <w:t>Every round of the tool-calling loop is streamed live over Server-Sent Events, including visible status events for each tool call in progress, not just the final answer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FR-48  </w:t>
      </w:r>
      <w:r>
        <w:rPr>
          <w:rFonts w:ascii="Calibri" w:cs="Calibri" w:eastAsia="Calibri" w:hAnsi="Calibri"/>
          <w:color w:val="222222"/>
          <w:sz w:val="20"/>
          <w:szCs w:val="20"/>
        </w:rPr>
        <w:t>Any ID returned by a tool (department_id, user_id, clinic_id) must be resolved via the matching tool before being shown to the user; this is enforced explicitly in the system prompt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FR-49  </w:t>
      </w:r>
      <w:r>
        <w:rPr>
          <w:rFonts w:ascii="Calibri" w:cs="Calibri" w:eastAsia="Calibri" w:hAnsi="Calibri"/>
          <w:color w:val="222222"/>
          <w:sz w:val="20"/>
          <w:szCs w:val="20"/>
        </w:rPr>
        <w:t>The chat LLM is instructed to answer only from live tool results, never invented data, and to say so honestly when a lookup returns nothing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Report &amp; Summary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FR-50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/generate/report supports four report types: daily appointment summary, department utilization, patient engagement, executive operational snapshot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FR-51  </w:t>
      </w:r>
      <w:r>
        <w:rPr>
          <w:rFonts w:ascii="Calibri" w:cs="Calibri" w:eastAsia="Calibri" w:hAnsi="Calibri"/>
          <w:color w:val="222222"/>
          <w:sz w:val="20"/>
          <w:szCs w:val="20"/>
        </w:rPr>
        <w:t>All totals, counts, and percentages are computed deterministically in Python inside dedicated report-stats tools that fetch live data at request time; the LLM never performs arithmetic itself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FR-52  </w:t>
      </w:r>
      <w:r>
        <w:rPr>
          <w:rFonts w:ascii="Calibri" w:cs="Calibri" w:eastAsia="Calibri" w:hAnsi="Calibri"/>
          <w:color w:val="222222"/>
          <w:sz w:val="20"/>
          <w:szCs w:val="20"/>
        </w:rPr>
        <w:t>The report agent must call the appropriate stats tool before writing any numbers, and must use those numbers exactly as returned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FR-53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Per-provider, per-department breakdowns are precomputed for daily reports so the LLM is not required to group or tally raw appointment lists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FR-54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The system prompt explicitly forbids the LLM from inventing patients, providers, or departments not present in the supplied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FR-55  </w:t>
      </w:r>
      <w:r>
        <w:rPr>
          <w:rFonts w:ascii="Calibri" w:cs="Calibri" w:eastAsia="Calibri" w:hAnsi="Calibri"/>
          <w:color w:val="222222"/>
          <w:sz w:val="20"/>
          <w:szCs w:val="20"/>
        </w:rPr>
        <w:t>Report statistics are always computed live per request — there is no ingestion step or staleness window for report data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AI-Generated Communications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FR-56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/generate/communication supports four types: follow-up, service recommendation, preventive care, operational assistance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FR-57  </w:t>
      </w:r>
      <w:r>
        <w:rPr>
          <w:rFonts w:ascii="Calibri" w:cs="Calibri" w:eastAsia="Calibri" w:hAnsi="Calibri"/>
          <w:color w:val="222222"/>
          <w:sz w:val="20"/>
          <w:szCs w:val="20"/>
        </w:rPr>
        <w:t>Requests are scoped to a specific patient, provider, or clinic via a typed ID in the request body; that ID is passed to the shared tool-calling agent, which fetches the live record itself rather than a pre-synced chunk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FR-58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/generate/reminder drafts a short reminder message (day-before or hour-before) from structured appointment, patient, provider, and clinic details, without placeholders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FR-59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Chat, report, and communication calls always record success/failure status as a Kafka event, even when the underlying LLM call fails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>Document Ingestion &amp; Retrieval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FR-60  </w:t>
      </w:r>
      <w:r>
        <w:rPr>
          <w:rFonts w:ascii="Calibri" w:cs="Calibri" w:eastAsia="Calibri" w:hAnsi="Calibri"/>
          <w:color w:val="222222"/>
          <w:sz w:val="20"/>
          <w:szCs w:val="20"/>
        </w:rPr>
        <w:t>PDF ingestion runs as a Temporal workflow (PdfIngestionWorkflow) with one activity per page; a single page's parsing/embedding failure does not fail the whole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FR-61  </w:t>
      </w:r>
      <w:r>
        <w:rPr>
          <w:rFonts w:ascii="Calibri" w:cs="Calibri" w:eastAsia="Calibri" w:hAnsi="Calibri"/>
          <w:color w:val="222222"/>
          <w:sz w:val="20"/>
          <w:szCs w:val="20"/>
        </w:rPr>
        <w:t>Pages are hashed and diffed per re-upload: unchanged pages are skipped, changed pages have their chunks replaced in a single transaction, and pages removed from a shorter re-upload are cleaned up (orphan-page deletion)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FR-62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Text chunks are embedded with the all-MiniLM-L6-v2 sentence-transformer model before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FR-63  </w:t>
      </w:r>
      <w:r>
        <w:rPr>
          <w:rFonts w:ascii="Calibri" w:cs="Calibri" w:eastAsia="Calibri" w:hAnsi="Calibri"/>
          <w:color w:val="222222"/>
          <w:sz w:val="20"/>
          <w:szCs w:val="20"/>
        </w:rPr>
        <w:t>/ingest (plain text) and /ingest/pdf (via the Temporal ingestion workflow) allow ad hoc ingestion of arbitrary text and PDF documents into the same pgvector store — the only data pgvector now holds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AI Analytics &amp; Observability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FR-64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Every /chat, /generate/communication, and /generate/report call publishes an ai.events Kafka event carrying event type, status, and user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FR-65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GET /analytics/ai (admin-only) returns AI Assistant Usage, Questions Asked/Answered, and Generated Communication Usage broken down by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FR-66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LangChain LLM calls are auto-instrumented via OpenTelemetry and exported to Jaeger for tracing of model latency, token usage, and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FR-67  </w:t>
      </w:r>
      <w:r>
        <w:rPr>
          <w:rFonts w:ascii="Calibri" w:cs="Calibri" w:eastAsia="Calibri" w:hAnsi="Calibri"/>
          <w:color w:val="222222"/>
          <w:sz w:val="20"/>
          <w:szCs w:val="20"/>
        </w:rPr>
        <w:t>Day-before and hour-before appointment reminders are scheduled via Temporal Schedules — a one-shot workflow per reminder is scheduled when an appointment is created and cancelled if the appointment is cancelled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FR-68  </w:t>
      </w:r>
      <w:r>
        <w:rPr>
          <w:rFonts w:ascii="Calibri" w:cs="Calibri" w:eastAsia="Calibri" w:hAnsi="Calibri"/>
          <w:color w:val="222222"/>
          <w:sz w:val="20"/>
          <w:szCs w:val="20"/>
        </w:rPr>
        <w:t>The tool library exposed to any agent is restricted to single-entity lookups and pre-verified computed-stat tools; no endpoint exposes a bulk/raw entity dump to the LLM</w:t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160"/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2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NFR-12</w:t>
            </w:r>
          </w:p>
        </w:tc>
        <w:tc>
          <w:tcPr>
            <w:tcW w:type="dxa" w:w="20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616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ai-service embedding/generation workloads run independently of core booking services and scale without affecting appointment/patient/provider throughput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NFR-13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Accuracy</w:t>
            </w:r>
          </w:p>
        </w:tc>
        <w:tc>
          <w:tcPr>
            <w:tcW w:type="dxa" w:w="61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Numeric values in generated reports must match Python-computed ground truth exactly; LLM output is never treated as the source of truth for counts</w:t>
            </w:r>
          </w:p>
        </w:tc>
      </w:tr>
      <w:tr>
        <w:tc>
          <w:tcPr>
            <w:tcW w:type="dxa" w:w="12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NFR-14</w:t>
            </w:r>
          </w:p>
        </w:tc>
        <w:tc>
          <w:tcPr>
            <w:tcW w:type="dxa" w:w="20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Data freshness</w:t>
            </w:r>
          </w:p>
        </w:tc>
        <w:tc>
          <w:tcPr>
            <w:tcW w:type="dxa" w:w="616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>Entity data (patients, providers, appointments) is fetched live per request, so there is no staleness window; only ingested PDF/document content depends on when it was last uploaded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NFR-15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Auditability</w:t>
            </w:r>
          </w:p>
        </w:tc>
        <w:tc>
          <w:tcPr>
            <w:tcW w:type="dxa" w:w="61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Every AI interaction (chat, report, communication) is durably logged as a Kafka event and a database row, regardless of success or failure</w:t>
            </w:r>
          </w:p>
        </w:tc>
      </w:tr>
      <w:tr>
        <w:tc>
          <w:tcPr>
            <w:tcW w:type="dxa" w:w="12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NFR-16</w:t>
            </w:r>
          </w:p>
        </w:tc>
        <w:tc>
          <w:tcPr>
            <w:tcW w:type="dxa" w:w="20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616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LLM call latency, token counts, and errors are traceable end-to-end via OpenTelemetry/Jaeger without manual span instrumentation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NFR-17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Access control</w:t>
            </w:r>
          </w:p>
        </w:tc>
        <w:tc>
          <w:tcPr>
            <w:tcW w:type="dxa" w:w="61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All GenAI endpoints (chat, report, communication, reminder, AI analytics) are restricted to the admin role</w:t>
            </w:r>
          </w:p>
        </w:tc>
      </w:tr>
      <w:tr>
        <w:tc>
          <w:tcPr>
            <w:tcW w:type="dxa" w:w="12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NFR-18</w:t>
            </w:r>
          </w:p>
        </w:tc>
        <w:tc>
          <w:tcPr>
            <w:tcW w:type="dxa" w:w="20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Configurability</w:t>
            </w:r>
          </w:p>
        </w:tc>
        <w:tc>
          <w:tcPr>
            <w:tcW w:type="dxa" w:w="616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The Groq model identifier is externalised to an environment variable (GROQ_MODEL) so the underlying LLM can be swapped without code changes</w:t>
            </w:r>
          </w:p>
        </w:tc>
      </w:tr>
    </w:tbl>
    <w:p>
      <w:pP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Delivery Timeline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900"/>
        <w:gridCol w:w="1300"/>
        <w:gridCol w:w="1620"/>
        <w:gridCol w:w="1820"/>
        <w:gridCol w:w="1720"/>
      </w:tblGrid>
      <w:tr>
        <w:trPr>
          <w:tblHeader/>
        </w:trPr>
        <w:tc>
          <w:tcPr>
            <w:tcW w:type="dxa" w:w="1100"/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900"/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900"/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1300"/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 Alloc.</w:t>
            </w:r>
          </w:p>
        </w:tc>
        <w:tc>
          <w:tcPr>
            <w:tcW w:type="dxa" w:w="1620"/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Start</w:t>
            </w:r>
          </w:p>
        </w:tc>
        <w:tc>
          <w:tcPr>
            <w:tcW w:type="dxa" w:w="1820"/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End</w:t>
            </w:r>
          </w:p>
        </w:tc>
        <w:tc>
          <w:tcPr>
            <w:tcW w:type="dxa" w:w="1720"/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Actual Completion</w:t>
            </w:r>
          </w:p>
        </w:tc>
      </w:tr>
      <w:tr>
        <w:tc>
          <w:tcPr>
            <w:tcW w:type="dxa" w:w="11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Part B</w:t>
            </w:r>
          </w:p>
        </w:tc>
        <w:tc>
          <w:tcPr>
            <w:tcW w:type="dxa" w:w="9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Week 4</w:t>
            </w:r>
          </w:p>
        </w:tc>
        <w:tc>
          <w:tcPr>
            <w:tcW w:type="dxa" w:w="9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Part B</w:t>
            </w:r>
          </w:p>
        </w:tc>
        <w:tc>
          <w:tcPr>
            <w:tcW w:type="dxa" w:w="13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62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27-Jul-2026</w:t>
            </w:r>
          </w:p>
        </w:tc>
        <w:tc>
          <w:tcPr>
            <w:tcW w:type="dxa" w:w="182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03-Aug-2026</w:t>
            </w:r>
          </w:p>
        </w:tc>
        <w:tc>
          <w:tcPr>
            <w:tcW w:type="dxa" w:w="172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29-Jul-2026</w:t>
            </w:r>
          </w:p>
        </w:tc>
      </w:tr>
      <w:tr>
        <w:tc>
          <w:tcPr>
            <w:tcW w:type="dxa" w:w="11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Part B</w:t>
            </w:r>
          </w:p>
        </w:tc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Week 5</w:t>
            </w:r>
          </w:p>
        </w:tc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Part B</w:t>
            </w:r>
          </w:p>
        </w:tc>
        <w:tc>
          <w:tcPr>
            <w:tcW w:type="dxa" w:w="13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62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03-Aug-2026</w:t>
            </w:r>
          </w:p>
        </w:tc>
        <w:tc>
          <w:tcPr>
            <w:tcW w:type="dxa" w:w="182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10-Aug-2026</w:t>
            </w:r>
          </w:p>
        </w:tc>
        <w:tc>
          <w:tcPr>
            <w:tcW w:type="dxa" w:w="172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06-Aug-2026</w:t>
            </w:r>
          </w:p>
        </w:tc>
      </w:tr>
      <w:tr>
        <w:tc>
          <w:tcPr>
            <w:tcW w:type="dxa" w:w="1100"/>
          </w:tcPr>
          <w:p>
            <w:r>
              <w:rPr>
                <w:rFonts w:ascii="Calibri" w:hAnsi="Calibri"/>
                <w:b/>
                <w:color w:val="1F4E79"/>
                <w:sz w:val="19"/>
              </w:rPr>
              <w:t>Part B</w:t>
            </w:r>
          </w:p>
        </w:tc>
        <w:tc>
          <w:tcPr>
            <w:tcW w:type="dxa" w:w="900"/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Week 6</w:t>
            </w:r>
          </w:p>
        </w:tc>
        <w:tc>
          <w:tcPr>
            <w:tcW w:type="dxa" w:w="900"/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Part B</w:t>
            </w:r>
          </w:p>
        </w:tc>
        <w:tc>
          <w:tcPr>
            <w:tcW w:type="dxa" w:w="1300"/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1620"/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10-Aug-2026</w:t>
            </w:r>
          </w:p>
        </w:tc>
        <w:tc>
          <w:tcPr>
            <w:tcW w:type="dxa" w:w="1820"/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19-Aug-2026</w:t>
            </w:r>
          </w:p>
        </w:tc>
        <w:tc>
          <w:tcPr>
            <w:tcW w:type="dxa" w:w="1720"/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19-Aug-2026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Week 4 — 27-Jul-2026 to 03-Aug-2026 (completed 29-Jul-2026)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the RAG chat pipeline: pgvector store, all-MiniLM-L6-v2 embeddings, /chat with SSE streaming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Added entity-aware retrieval: source_prefix extraction from queries, boundary-safe chunk filtering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/generate/report: deterministic Python statistics stored as pure-data chunks, prompt framing applied only at request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Fixed LLM hallucination issues (miscounted totals, invented providers) by removing distractor data and precomputing breakdowns</w:t>
      </w:r>
    </w:p>
    <w:p>
      <w:pPr>
        <w:spacing w:before="12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Week 5 — 03-Aug-2026 to 10-Aug-2026 (completed 06-Aug-2026)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Wired /generate/communication and /generate/reminder to real chunk data with per-entity scoping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Extended /ingest/sync to precompute and store report statistic chunks alongside entity chunks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Added OpenTelemetry auto-instrumentation for LangChain LLM calls, exported to Jaeger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Added ai.events Kafka topic, analytics-service consumer, and GET /analytics/ai (AI Assistant Usage, Questions Asked/Answered, Generated Communication Usage)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Externalised the Groq model identifier to the GROQ_MODEL environment variable</w:t>
      </w:r>
    </w:p>
    <w:p>
      <w:pPr>
        <w:spacing w:before="12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>Week 6 — 10-Aug-2026 to 19-Aug-2026 (completed 19-Aug-2026)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>Migrated /chat, /generate/communication, and /generate/report to a shared, agentic tool-calling loop with a scoped tool library — no more query parsing, chunk pre-fetching, or /ingest/sync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>Rebuilt PDF ingestion as a Temporal workflow (PdfIngestionWorkflow) with per-page hashing, diffing, and orphan-page cleanup, replacing whole-file re-embedding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>Replaced sleeping reminder workflows with Temporal Schedules — one-shot day-before/hour-before workflows scheduled per appointment and cancelled on cancellation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>Scoped pgvector to store only ingested PDF/document content; report statistics are now computed live per request instead of cached</w:t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Traceability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260"/>
        <w:gridCol w:w="2500"/>
        <w:gridCol w:w="1600"/>
      </w:tblGrid>
      <w:tr>
        <w:trPr>
          <w:tblHeader/>
        </w:trPr>
        <w:tc>
          <w:tcPr>
            <w:tcW w:type="dxa" w:w="900"/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3100"/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 Summary</w:t>
            </w:r>
          </w:p>
        </w:tc>
        <w:tc>
          <w:tcPr>
            <w:tcW w:type="dxa" w:w="1260"/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 Case(s)</w:t>
            </w:r>
          </w:p>
        </w:tc>
        <w:tc>
          <w:tcPr>
            <w:tcW w:type="dxa" w:w="2500"/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Service(s)</w:t>
            </w:r>
          </w:p>
        </w:tc>
        <w:tc>
          <w:tcPr>
            <w:tcW w:type="dxa" w:w="1600"/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</w:tr>
      <w:tr>
        <w:tc>
          <w:tcPr>
            <w:tcW w:type="dxa" w:w="9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FR-44</w:t>
            </w:r>
          </w:p>
        </w:tc>
        <w:tc>
          <w:tcPr>
            <w:tcW w:type="dxa" w:w="31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SSE-streamed chat endpoint</w:t>
            </w:r>
          </w:p>
        </w:tc>
        <w:tc>
          <w:tcPr>
            <w:tcW w:type="dxa" w:w="126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UC-11</w:t>
            </w:r>
          </w:p>
        </w:tc>
        <w:tc>
          <w:tcPr>
            <w:tcW w:type="dxa" w:w="25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ai-service</w:t>
            </w:r>
          </w:p>
        </w:tc>
        <w:tc>
          <w:tcPr>
            <w:tcW w:type="dxa" w:w="16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Week 4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FR-45</w:t>
            </w:r>
          </w:p>
        </w:tc>
        <w:tc>
          <w:tcPr>
            <w:tcW w:type="dxa" w:w="31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>Scoped tool library bound to chat LLM</w:t>
            </w:r>
          </w:p>
        </w:tc>
        <w:tc>
          <w:tcPr>
            <w:tcW w:type="dxa" w:w="12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UC-11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ai-service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>Week 6</w:t>
            </w:r>
          </w:p>
        </w:tc>
      </w:tr>
      <w:tr>
        <w:tc>
          <w:tcPr>
            <w:tcW w:type="dxa" w:w="9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FR-46</w:t>
            </w:r>
          </w:p>
        </w:tc>
        <w:tc>
          <w:tcPr>
            <w:tcW w:type="dxa" w:w="31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>Shared ReAct tool-calling loop (chat/communication/report)</w:t>
            </w:r>
          </w:p>
        </w:tc>
        <w:tc>
          <w:tcPr>
            <w:tcW w:type="dxa" w:w="126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UC-11</w:t>
            </w:r>
          </w:p>
        </w:tc>
        <w:tc>
          <w:tcPr>
            <w:tcW w:type="dxa" w:w="25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ai-service</w:t>
            </w:r>
          </w:p>
        </w:tc>
        <w:tc>
          <w:tcPr>
            <w:tcW w:type="dxa" w:w="16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>Week 6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FR-47</w:t>
            </w:r>
          </w:p>
        </w:tc>
        <w:tc>
          <w:tcPr>
            <w:tcW w:type="dxa" w:w="31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>Live SSE streaming of every tool-loop round</w:t>
            </w:r>
          </w:p>
        </w:tc>
        <w:tc>
          <w:tcPr>
            <w:tcW w:type="dxa" w:w="12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UC-11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ai-service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>Week 6</w:t>
            </w:r>
          </w:p>
        </w:tc>
      </w:tr>
      <w:tr>
        <w:tc>
          <w:tcPr>
            <w:tcW w:type="dxa" w:w="9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FR-48</w:t>
            </w:r>
          </w:p>
        </w:tc>
        <w:tc>
          <w:tcPr>
            <w:tcW w:type="dxa" w:w="31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>Tool-surfaced ID resolution before display</w:t>
            </w:r>
          </w:p>
        </w:tc>
        <w:tc>
          <w:tcPr>
            <w:tcW w:type="dxa" w:w="126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UC-11</w:t>
            </w:r>
          </w:p>
        </w:tc>
        <w:tc>
          <w:tcPr>
            <w:tcW w:type="dxa" w:w="25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ai-service</w:t>
            </w:r>
          </w:p>
        </w:tc>
        <w:tc>
          <w:tcPr>
            <w:tcW w:type="dxa" w:w="16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>Week 6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FR-49</w:t>
            </w:r>
          </w:p>
        </w:tc>
        <w:tc>
          <w:tcPr>
            <w:tcW w:type="dxa" w:w="31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>Tool-result-grounded chat answers</w:t>
            </w:r>
          </w:p>
        </w:tc>
        <w:tc>
          <w:tcPr>
            <w:tcW w:type="dxa" w:w="12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UC-11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ai-service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>Week 6</w:t>
            </w:r>
          </w:p>
        </w:tc>
      </w:tr>
      <w:tr>
        <w:tc>
          <w:tcPr>
            <w:tcW w:type="dxa" w:w="9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FR-50</w:t>
            </w:r>
          </w:p>
        </w:tc>
        <w:tc>
          <w:tcPr>
            <w:tcW w:type="dxa" w:w="31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Four report types</w:t>
            </w:r>
          </w:p>
        </w:tc>
        <w:tc>
          <w:tcPr>
            <w:tcW w:type="dxa" w:w="126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UC-12</w:t>
            </w:r>
          </w:p>
        </w:tc>
        <w:tc>
          <w:tcPr>
            <w:tcW w:type="dxa" w:w="25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ai-service</w:t>
            </w:r>
          </w:p>
        </w:tc>
        <w:tc>
          <w:tcPr>
            <w:tcW w:type="dxa" w:w="16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Week 4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FR-51</w:t>
            </w:r>
          </w:p>
        </w:tc>
        <w:tc>
          <w:tcPr>
            <w:tcW w:type="dxa" w:w="31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>Live-computed statistics via report-stats tools</w:t>
            </w:r>
          </w:p>
        </w:tc>
        <w:tc>
          <w:tcPr>
            <w:tcW w:type="dxa" w:w="12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UC-12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ai-service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>Week 6</w:t>
            </w:r>
          </w:p>
        </w:tc>
      </w:tr>
      <w:tr>
        <w:tc>
          <w:tcPr>
            <w:tcW w:type="dxa" w:w="9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FR-52</w:t>
            </w:r>
          </w:p>
        </w:tc>
        <w:tc>
          <w:tcPr>
            <w:tcW w:type="dxa" w:w="31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>Report agent must call stats tool before writing numbers</w:t>
            </w:r>
          </w:p>
        </w:tc>
        <w:tc>
          <w:tcPr>
            <w:tcW w:type="dxa" w:w="126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UC-12</w:t>
            </w:r>
          </w:p>
        </w:tc>
        <w:tc>
          <w:tcPr>
            <w:tcW w:type="dxa" w:w="25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ai-service</w:t>
            </w:r>
          </w:p>
        </w:tc>
        <w:tc>
          <w:tcPr>
            <w:tcW w:type="dxa" w:w="16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>Week 6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FR-53</w:t>
            </w:r>
          </w:p>
        </w:tc>
        <w:tc>
          <w:tcPr>
            <w:tcW w:type="dxa" w:w="31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Precomputed provider/department breakdowns</w:t>
            </w:r>
          </w:p>
        </w:tc>
        <w:tc>
          <w:tcPr>
            <w:tcW w:type="dxa" w:w="12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UC-12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ai-service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Week 4</w:t>
            </w:r>
          </w:p>
        </w:tc>
      </w:tr>
      <w:tr>
        <w:tc>
          <w:tcPr>
            <w:tcW w:type="dxa" w:w="9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FR-54</w:t>
            </w:r>
          </w:p>
        </w:tc>
        <w:tc>
          <w:tcPr>
            <w:tcW w:type="dxa" w:w="31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Anti-fabrication system prompt rule</w:t>
            </w:r>
          </w:p>
        </w:tc>
        <w:tc>
          <w:tcPr>
            <w:tcW w:type="dxa" w:w="126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UC-12</w:t>
            </w:r>
          </w:p>
        </w:tc>
        <w:tc>
          <w:tcPr>
            <w:tcW w:type="dxa" w:w="25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ai-service</w:t>
            </w:r>
          </w:p>
        </w:tc>
        <w:tc>
          <w:tcPr>
            <w:tcW w:type="dxa" w:w="16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Week 4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FR-55</w:t>
            </w:r>
          </w:p>
        </w:tc>
        <w:tc>
          <w:tcPr>
            <w:tcW w:type="dxa" w:w="31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>Report stats always computed live (no staleness)</w:t>
            </w:r>
          </w:p>
        </w:tc>
        <w:tc>
          <w:tcPr>
            <w:tcW w:type="dxa" w:w="12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UC-12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ai-service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>Week 6</w:t>
            </w:r>
          </w:p>
        </w:tc>
      </w:tr>
      <w:tr>
        <w:tc>
          <w:tcPr>
            <w:tcW w:type="dxa" w:w="9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FR-56</w:t>
            </w:r>
          </w:p>
        </w:tc>
        <w:tc>
          <w:tcPr>
            <w:tcW w:type="dxa" w:w="31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Four communication types</w:t>
            </w:r>
          </w:p>
        </w:tc>
        <w:tc>
          <w:tcPr>
            <w:tcW w:type="dxa" w:w="126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UC-13</w:t>
            </w:r>
          </w:p>
        </w:tc>
        <w:tc>
          <w:tcPr>
            <w:tcW w:type="dxa" w:w="25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ai-service</w:t>
            </w:r>
          </w:p>
        </w:tc>
        <w:tc>
          <w:tcPr>
            <w:tcW w:type="dxa" w:w="16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Week 5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FR-57</w:t>
            </w:r>
          </w:p>
        </w:tc>
        <w:tc>
          <w:tcPr>
            <w:tcW w:type="dxa" w:w="31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>Typed ID passed to tool-calling agent for live lookup</w:t>
            </w:r>
          </w:p>
        </w:tc>
        <w:tc>
          <w:tcPr>
            <w:tcW w:type="dxa" w:w="12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UC-13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ai-service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>Week 6</w:t>
            </w:r>
          </w:p>
        </w:tc>
      </w:tr>
      <w:tr>
        <w:tc>
          <w:tcPr>
            <w:tcW w:type="dxa" w:w="9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FR-58</w:t>
            </w:r>
          </w:p>
        </w:tc>
        <w:tc>
          <w:tcPr>
            <w:tcW w:type="dxa" w:w="31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Placeholder-free reminder drafting</w:t>
            </w:r>
          </w:p>
        </w:tc>
        <w:tc>
          <w:tcPr>
            <w:tcW w:type="dxa" w:w="126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UC-14</w:t>
            </w:r>
          </w:p>
        </w:tc>
        <w:tc>
          <w:tcPr>
            <w:tcW w:type="dxa" w:w="25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ai-service</w:t>
            </w:r>
          </w:p>
        </w:tc>
        <w:tc>
          <w:tcPr>
            <w:tcW w:type="dxa" w:w="16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Week 5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FR-59</w:t>
            </w:r>
          </w:p>
        </w:tc>
        <w:tc>
          <w:tcPr>
            <w:tcW w:type="dxa" w:w="31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Always-recorded call status events</w:t>
            </w:r>
          </w:p>
        </w:tc>
        <w:tc>
          <w:tcPr>
            <w:tcW w:type="dxa" w:w="12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UC-12, UC-13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ai-service, analytics-service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Week 5</w:t>
            </w:r>
          </w:p>
        </w:tc>
      </w:tr>
      <w:tr>
        <w:tc>
          <w:tcPr>
            <w:tcW w:type="dxa" w:w="9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FR-60</w:t>
            </w:r>
          </w:p>
        </w:tc>
        <w:tc>
          <w:tcPr>
            <w:tcW w:type="dxa" w:w="31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>Temporal workflow PDF ingestion (per-page activities)</w:t>
            </w:r>
          </w:p>
        </w:tc>
        <w:tc>
          <w:tcPr>
            <w:tcW w:type="dxa" w:w="126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UC-15</w:t>
            </w:r>
          </w:p>
        </w:tc>
        <w:tc>
          <w:tcPr>
            <w:tcW w:type="dxa" w:w="25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>ai-service, temporal-workflow</w:t>
            </w:r>
          </w:p>
        </w:tc>
        <w:tc>
          <w:tcPr>
            <w:tcW w:type="dxa" w:w="16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>Week 6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FR-61</w:t>
            </w:r>
          </w:p>
        </w:tc>
        <w:tc>
          <w:tcPr>
            <w:tcW w:type="dxa" w:w="31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>Per-page hash diff + orphan-page cleanup</w:t>
            </w:r>
          </w:p>
        </w:tc>
        <w:tc>
          <w:tcPr>
            <w:tcW w:type="dxa" w:w="12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UC-15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ai-service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>Week 6</w:t>
            </w:r>
          </w:p>
        </w:tc>
      </w:tr>
      <w:tr>
        <w:tc>
          <w:tcPr>
            <w:tcW w:type="dxa" w:w="9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FR-62</w:t>
            </w:r>
          </w:p>
        </w:tc>
        <w:tc>
          <w:tcPr>
            <w:tcW w:type="dxa" w:w="31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all-MiniLM-L6-v2 embeddings</w:t>
            </w:r>
          </w:p>
        </w:tc>
        <w:tc>
          <w:tcPr>
            <w:tcW w:type="dxa" w:w="126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UC-15</w:t>
            </w:r>
          </w:p>
        </w:tc>
        <w:tc>
          <w:tcPr>
            <w:tcW w:type="dxa" w:w="25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ai-service</w:t>
            </w:r>
          </w:p>
        </w:tc>
        <w:tc>
          <w:tcPr>
            <w:tcW w:type="dxa" w:w="16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Week 4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FR-63</w:t>
            </w:r>
          </w:p>
        </w:tc>
        <w:tc>
          <w:tcPr>
            <w:tcW w:type="dxa" w:w="31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Ad hoc text/PDF ingestion</w:t>
            </w:r>
          </w:p>
        </w:tc>
        <w:tc>
          <w:tcPr>
            <w:tcW w:type="dxa" w:w="12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UC-15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ai-service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Week 4</w:t>
            </w:r>
          </w:p>
        </w:tc>
      </w:tr>
      <w:tr>
        <w:tc>
          <w:tcPr>
            <w:tcW w:type="dxa" w:w="9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FR-64</w:t>
            </w:r>
          </w:p>
        </w:tc>
        <w:tc>
          <w:tcPr>
            <w:tcW w:type="dxa" w:w="31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ai.events Kafka publishing</w:t>
            </w:r>
          </w:p>
        </w:tc>
        <w:tc>
          <w:tcPr>
            <w:tcW w:type="dxa" w:w="126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UC-16</w:t>
            </w:r>
          </w:p>
        </w:tc>
        <w:tc>
          <w:tcPr>
            <w:tcW w:type="dxa" w:w="25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ai-service, analytics-service</w:t>
            </w:r>
          </w:p>
        </w:tc>
        <w:tc>
          <w:tcPr>
            <w:tcW w:type="dxa" w:w="16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Week 5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FR-65</w:t>
            </w:r>
          </w:p>
        </w:tc>
        <w:tc>
          <w:tcPr>
            <w:tcW w:type="dxa" w:w="31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 /analytics/ai endpoint</w:t>
            </w:r>
          </w:p>
        </w:tc>
        <w:tc>
          <w:tcPr>
            <w:tcW w:type="dxa" w:w="12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UC-16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analytics-service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Week 5</w:t>
            </w:r>
          </w:p>
        </w:tc>
      </w:tr>
      <w:tr>
        <w:tc>
          <w:tcPr>
            <w:tcW w:type="dxa" w:w="9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FR-66</w:t>
            </w:r>
          </w:p>
        </w:tc>
        <w:tc>
          <w:tcPr>
            <w:tcW w:type="dxa" w:w="31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OpenTelemetry/Jaeger LLM tracing</w:t>
            </w:r>
          </w:p>
        </w:tc>
        <w:tc>
          <w:tcPr>
            <w:tcW w:type="dxa" w:w="126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UC-11, UC-12, UC-13</w:t>
            </w:r>
          </w:p>
        </w:tc>
        <w:tc>
          <w:tcPr>
            <w:tcW w:type="dxa" w:w="25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ai-service</w:t>
            </w:r>
          </w:p>
        </w:tc>
        <w:tc>
          <w:tcPr>
            <w:tcW w:type="dxa" w:w="1600"/>
            <w:shd w:fill="D6E4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Week 5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/>
                <w:color w:val="1F4E79"/>
                <w:sz w:val="19"/>
              </w:rPr>
              <w:t>FR-67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Temporal Schedule reminder triggering</w:t>
            </w:r>
          </w:p>
        </w:tc>
        <w:tc>
          <w:tcPr>
            <w:tcW w:type="dxa" w:w="1260"/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UC-14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ai-service, temporal-workflow</w:t>
            </w:r>
          </w:p>
        </w:tc>
        <w:tc>
          <w:tcPr>
            <w:tcW w:type="dxa" w:w="1600"/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Week 6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/>
                <w:color w:val="1F4E79"/>
                <w:sz w:val="19"/>
              </w:rPr>
              <w:t>FR-68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Scoped-only tool library (no bulk dumps)</w:t>
            </w:r>
          </w:p>
        </w:tc>
        <w:tc>
          <w:tcPr>
            <w:tcW w:type="dxa" w:w="1260"/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UC-11, UC-12, UC-13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ai-service</w:t>
            </w:r>
          </w:p>
        </w:tc>
        <w:tc>
          <w:tcPr>
            <w:tcW w:type="dxa" w:w="1600"/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Week 6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2026-08-06T16:17:05.456Z</dcterms:created>
  <dcterms:modified xsi:type="dcterms:W3CDTF">2026-08-06T16:17:05.456Z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