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33" w:rsidRPr="004B4133" w:rsidRDefault="004B4133" w:rsidP="004B4133">
      <w:pPr>
        <w:pBdr>
          <w:bottom w:val="single" w:sz="6" w:space="2" w:color="AF3C43"/>
        </w:pBdr>
        <w:shd w:val="clear" w:color="auto" w:fill="FFFFFF"/>
        <w:spacing w:before="240" w:after="48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</w:pPr>
      <w:r w:rsidRPr="004B4133"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  <w:t xml:space="preserve">Land Surface and </w:t>
      </w:r>
      <w:proofErr w:type="spellStart"/>
      <w:r w:rsidRPr="004B4133"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  <w:t>Vegetation</w:t>
      </w:r>
      <w:proofErr w:type="spellEnd"/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surface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under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transformation,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much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driven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by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changing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climate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conditions and an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increased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interest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region’s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natural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resources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 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Understanding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change in a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historical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context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projecting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into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future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central to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proper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stewardship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unique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environment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responsible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development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vast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resources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Previous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Canada have been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insufficient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spatial or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thematic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detail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address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emerging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issues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such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wildlife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habitat, land use planning, and fine-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scale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dynamics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  Satellite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remote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sensing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method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capable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systematically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monitoring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landscape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information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appropriate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level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detail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at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frequency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presents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some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significant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challenges to satellite observation – cloud-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polar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darkness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large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sun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angles.  Canada Centre for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Earth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Observation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research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focused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developing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validating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satellite-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based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techniques capable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reliably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:</w:t>
      </w:r>
    </w:p>
    <w:p w:rsidR="004B4133" w:rsidRPr="004B4133" w:rsidRDefault="004B4133" w:rsidP="004B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6" w:history="1">
        <w:r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 xml:space="preserve">Land </w:t>
        </w:r>
        <w:proofErr w:type="spellStart"/>
        <w:r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cover</w:t>
        </w:r>
        <w:proofErr w:type="spellEnd"/>
      </w:hyperlink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 – the location, distribution and volume/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density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land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vegetation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urban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, water)</w:t>
      </w:r>
    </w:p>
    <w:p w:rsidR="004B4133" w:rsidRPr="004B4133" w:rsidRDefault="004B4133" w:rsidP="004B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7" w:history="1">
        <w:proofErr w:type="spellStart"/>
        <w:r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Biophysical</w:t>
        </w:r>
        <w:proofErr w:type="spellEnd"/>
        <w:r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 xml:space="preserve"> </w:t>
        </w:r>
        <w:proofErr w:type="spellStart"/>
        <w:r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Parameters</w:t>
        </w:r>
        <w:proofErr w:type="spellEnd"/>
      </w:hyperlink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– the quantitative,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spatially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temporally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explicit, descriptions of land surface conditions</w:t>
      </w:r>
    </w:p>
    <w:p w:rsidR="00821F85" w:rsidRDefault="004B4133" w:rsidP="004B4133">
      <w:pPr>
        <w:ind w:left="-1418"/>
      </w:pPr>
      <w:bookmarkStart w:id="0" w:name="_GoBack"/>
      <w:bookmarkEnd w:id="0"/>
    </w:p>
    <w:sectPr w:rsidR="00821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257"/>
    <w:multiLevelType w:val="multilevel"/>
    <w:tmpl w:val="E63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33"/>
    <w:rsid w:val="00322A36"/>
    <w:rsid w:val="004B4133"/>
    <w:rsid w:val="005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3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B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4B4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3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B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4B4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4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tural-resources.canada.ca/node/10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al-resources.canada.ca/the-north/science/land-surface-vegetation/land-cover/108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Sacha-Olivier Dulac</dc:creator>
  <cp:lastModifiedBy>Sacha-Olivier Dulac</cp:lastModifiedBy>
  <cp:revision>1</cp:revision>
  <dcterms:created xsi:type="dcterms:W3CDTF">2023-05-28T13:38:00Z</dcterms:created>
  <dcterms:modified xsi:type="dcterms:W3CDTF">2023-05-28T13:40:00Z</dcterms:modified>
</cp:coreProperties>
</file>