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jc w:val="center"/>
      </w:pPr>
      <w:r>
        <w:t xml:space="preserve">Technical Documentation</w:t>
      </w:r>
    </w:p>
    <w:p>
      <w:pPr>
        <w:spacing w:after="100"/>
        <w:jc w:val="center"/>
      </w:pPr>
      <w:r>
        <w:rPr>
          <w:b/>
          <w:bCs/>
          <w:sz w:val="28"/>
          <w:szCs w:val="28"/>
        </w:rPr>
        <w:t xml:space="preserve">Representation Geometry in SVD-Based Collaborative Filtering</w:t>
      </w:r>
    </w:p>
    <w:p>
      <w:pPr>
        <w:spacing w:after="300"/>
        <w:jc w:val="center"/>
      </w:pPr>
      <w:r>
        <w:rPr>
          <w:i/>
          <w:iCs/>
          <w:sz w:val="22"/>
          <w:szCs w:val="22"/>
        </w:rPr>
        <w:t xml:space="preserve">Understanding Embedding Stability Under Data Sparsity</w:t>
      </w:r>
    </w:p>
    <w:p>
      <w:pPr>
        <w:spacing w:after="100"/>
        <w:jc w:val="center"/>
      </w:pPr>
      <w:r>
        <w:rPr>
          <w:sz w:val="24"/>
          <w:szCs w:val="24"/>
        </w:rPr>
        <w:t xml:space="preserve">Gulusan Erdogan-Ozgul</w:t>
      </w:r>
    </w:p>
    <w:p>
      <w:pPr>
        <w:spacing w:after="600"/>
        <w:jc w:val="center"/>
      </w:pPr>
      <w:r>
        <w:rPr>
          <w:color w:val="666666"/>
          <w:sz w:val="20"/>
          <w:szCs w:val="20"/>
        </w:rPr>
        <w:t xml:space="preserve">January 2026</w:t>
      </w:r>
    </w:p>
    <w:p>
      <w:pPr>
        <w:pStyle w:val="Heading1"/>
      </w:pPr>
      <w:r>
        <w:t xml:space="preserve">Abstract</w:t>
      </w:r>
    </w:p>
    <w:p>
      <w:pPr>
        <w:spacing w:before="100" w:after="120"/>
      </w:pPr>
      <w:r>
        <w:t xml:space="preserve">This document provides a comprehensive technical explanation of representation geometry in SVD-based collaborative filtering systems. We examine how data sparsity affects the geometric stability of learned user embeddings and demonstrate that standard evaluation metrics can mask systematic reliability failures. Through analysis of the MovieLens 1M dataset, we show that users with sparse interaction histories (&lt;10 ratings) exhibit 10x greater embedding instability compared to users with dense histories (≥50 ratings), affecting approximately 40% of the user population despite acceptable aggregate RMSE values.</w:t>
      </w:r>
    </w:p>
    <w:p>
      <w:pPr>
        <w:pStyle w:val="Heading1"/>
      </w:pPr>
      <w:r>
        <w:t xml:space="preserve">1. Introduction</w:t>
      </w:r>
    </w:p>
    <w:p>
      <w:pPr>
        <w:pStyle w:val="Heading2"/>
      </w:pPr>
      <w:r>
        <w:t xml:space="preserve">1.1 Motivation</w:t>
      </w:r>
    </w:p>
    <w:p>
      <w:pPr>
        <w:spacing w:before="100" w:after="120"/>
      </w:pPr>
      <w:r>
        <w:t xml:space="preserve">Collaborative filtering systems are deployed widely in recommendation platforms, from e-commerce to content streaming. These systems learn latent representations (embeddings) of users and items by factorizing sparse interaction matrices. While much attention has focused on improving predictive accuracy, less consideration has been given to the geometric stability of these learned representations.</w:t>
      </w:r>
    </w:p>
    <w:p>
      <w:pPr>
        <w:spacing w:after="120"/>
      </w:pPr>
      <w:r>
        <w:t xml:space="preserve">This matters because embedding stability affects several critical aspects of production systems: (1) consistency of recommendations across model retraining, (2) reliability of using embeddings for downstream tasks like user clustering or similarity search, and (3) fairness implications when certain user groups receive systematically less reliable service.</w:t>
      </w:r>
    </w:p>
    <w:p>
      <w:pPr>
        <w:pStyle w:val="Heading2"/>
      </w:pPr>
      <w:r>
        <w:t xml:space="preserve">1.2 Problem Statement</w:t>
      </w:r>
    </w:p>
    <w:p>
      <w:pPr>
        <w:spacing w:before="100" w:after="120"/>
      </w:pPr>
      <w:r>
        <w:t xml:space="preserve">The central question this work addresses is: How does per-user data availability affect the geometric stability of learned representations in matrix factorization systems? Specifically, we investigate whether users with different amounts of interaction data receive embeddings with different stability characteristics, and whether standard evaluation metrics adequately capture these differences.</w:t>
      </w:r>
    </w:p>
    <w:p>
      <w:pPr>
        <w:pStyle w:val="Heading2"/>
      </w:pPr>
      <w:r>
        <w:t xml:space="preserve">1.3 Contributions</w:t>
      </w:r>
    </w:p>
    <w:p>
      <w:pPr>
        <w:spacing w:before="100" w:after="60"/>
      </w:pPr>
      <w:r>
        <w:t xml:space="preserve">This work makes the following contributions:</w:t>
      </w:r>
    </w:p>
    <w:p>
      <w:pPr>
        <w:spacing w:after="60" left="720"/>
      </w:pPr>
      <w:r>
        <w:t xml:space="preserve">• Quantitative analysis of embedding stability as a function of user data availability</w:t>
      </w:r>
    </w:p>
    <w:p>
      <w:pPr>
        <w:spacing w:after="60" left="720"/>
      </w:pPr>
      <w:r>
        <w:t xml:space="preserve">• Demonstration that standard metrics (RMSE) can mask systematic failures affecting 40% of users</w:t>
      </w:r>
    </w:p>
    <w:p>
      <w:pPr>
        <w:spacing w:after="60" left="720"/>
      </w:pPr>
      <w:r>
        <w:t xml:space="preserve">• Identification of a reliability threshold around 10 interactions per user</w:t>
      </w:r>
    </w:p>
    <w:p>
      <w:pPr>
        <w:spacing w:after="180" left="720"/>
      </w:pPr>
      <w:r>
        <w:t xml:space="preserve">• Complete implementation and documentation enabling reproducibility</w:t>
      </w:r>
    </w:p>
    <w:p>
      <w:pPr>
        <w:pStyle w:val="Heading1"/>
      </w:pPr>
      <w:r>
        <w:t xml:space="preserve">2. Background and Related Concepts</w:t>
      </w:r>
    </w:p>
    <w:p>
      <w:pPr>
        <w:pStyle w:val="Heading2"/>
      </w:pPr>
      <w:r>
        <w:t xml:space="preserve">2.1 Collaborative Filtering</w:t>
      </w:r>
    </w:p>
    <w:p>
      <w:pPr>
        <w:spacing w:before="100" w:after="120"/>
      </w:pPr>
      <w:r>
        <w:t xml:space="preserve">Collaborative filtering predicts user preferences by identifying patterns in historical interaction data. The fundamental assumption is that users with similar past behavior will have similar future preferences. Matrix factorization approaches model this by decomposing the user-item interaction matrix into lower-dimensional representations.</w:t>
      </w:r>
    </w:p>
    <w:p>
      <w:pPr>
        <w:spacing w:after="120"/>
      </w:pPr>
      <w:r>
        <w:t xml:space="preserve">Given a sparse matrix R of size m×n (m users, n items) where R[i,j] represents user i's rating of item j, matrix factorization seeks to approximate R as the product of two lower-rank matrices: R ≈ U·V^T, where U is m×k (user embeddings) and V is n×k (item embeddings), with k &lt;&lt; min(m,n).</w:t>
      </w:r>
    </w:p>
    <w:p>
      <w:pPr>
        <w:pStyle w:val="Heading2"/>
      </w:pPr>
      <w:r>
        <w:t xml:space="preserve">2.2 Singular Value Decomposition (SVD)</w:t>
      </w:r>
    </w:p>
    <w:p>
      <w:pPr>
        <w:spacing w:before="100" w:after="120"/>
      </w:pPr>
      <w:r>
        <w:t xml:space="preserve">SVD is a matrix factorization technique that decomposes a matrix into three components: R = U·Σ·V^T, where:</w:t>
      </w:r>
    </w:p>
    <w:p>
      <w:pPr>
        <w:spacing w:after="60" left="720"/>
      </w:pPr>
      <w:r>
        <w:t xml:space="preserve">• U: m×k matrix of left singular vectors (user factors)</w:t>
      </w:r>
    </w:p>
    <w:p>
      <w:pPr>
        <w:spacing w:after="60" left="720"/>
      </w:pPr>
      <w:r>
        <w:t xml:space="preserve">• Σ: k×k diagonal matrix of singular values (importance weights)</w:t>
      </w:r>
    </w:p>
    <w:p>
      <w:pPr>
        <w:spacing w:after="120" left="720"/>
      </w:pPr>
      <w:r>
        <w:t xml:space="preserve">• V^T: k×n matrix of right singular vectors (item factors)</w:t>
      </w:r>
    </w:p>
    <w:p>
      <w:pPr>
        <w:spacing w:after="120"/>
      </w:pPr>
      <w:r>
        <w:t xml:space="preserve">For large sparse matrices, we typically use truncated SVD, computing only the top k singular values and vectors. This provides dimensionality reduction while capturing the most important patterns in the data. The choice of k represents a trade-off: too small and we lose information, too large and we overfit to noise.</w:t>
      </w:r>
    </w:p>
    <w:p>
      <w:pPr>
        <w:pStyle w:val="Heading2"/>
      </w:pPr>
      <w:r>
        <w:t xml:space="preserve">2.3 Embedding Spaces and Geometry</w:t>
      </w:r>
    </w:p>
    <w:p>
      <w:pPr>
        <w:spacing w:before="100" w:after="120"/>
      </w:pPr>
      <w:r>
        <w:t xml:space="preserve">The rows of U (user embeddings) and V (item embeddings) represent entities in a shared k-dimensional latent space. In this space, geometric relationships have semantic meaning: users with similar preferences are close together, as are similar items. Predictions are made by computing inner products between user and item embeddings.</w:t>
      </w:r>
    </w:p>
    <w:p>
      <w:pPr>
        <w:spacing w:after="120"/>
      </w:pPr>
      <w:r>
        <w:t xml:space="preserve">The geometry of this embedding space is fundamental to system behavior. If embeddings are unstable—varying significantly across model retraining—then recommendations, similarity computations, and clustering results will also be unstable. This lack of geometric consistency can manifest as poor user experience and unreliable system behavior.</w:t>
      </w:r>
    </w:p>
    <w:p>
      <w:pPr>
        <w:pStyle w:val="Heading2"/>
      </w:pPr>
      <w:r>
        <w:t xml:space="preserve">2.4 Data Sparsity in Recommendation Systems</w:t>
      </w:r>
    </w:p>
    <w:p>
      <w:pPr>
        <w:spacing w:before="100" w:after="120"/>
      </w:pPr>
      <w:r>
        <w:t xml:space="preserve">Real-world recommendation datasets typically exhibit extreme sparsity and long-tail distributions. The MovieLens 1M dataset, for example, has density of approximately 4.5% (1M ratings / 6K users × 4K movies). Moreover, user activity follows a power-law distribution: a small fraction of users provide many ratings while the majority provide few.</w:t>
      </w:r>
    </w:p>
    <w:p>
      <w:pPr>
        <w:spacing w:after="180"/>
      </w:pPr>
      <w:r>
        <w:t xml:space="preserve">This long-tail distribution creates a fundamental asymmetry: some users have abundant data (hundreds of ratings), enabling reliable embedding estimation, while others have sparse data (fewer than 10 ratings), making embedding estimation under-constrained. Standard evaluation protocols typically aggregate over all users, potentially obscuring per-user reliability differences.</w:t>
      </w:r>
    </w:p>
    <w:p>
      <w:pPr>
        <w:pStyle w:val="Heading1"/>
      </w:pPr>
      <w:r>
        <w:t xml:space="preserve">3. Methodology</w:t>
      </w:r>
    </w:p>
    <w:p>
      <w:pPr>
        <w:pStyle w:val="Heading2"/>
      </w:pPr>
      <w:r>
        <w:t xml:space="preserve">3.1 Experimental Setup</w:t>
      </w:r>
    </w:p>
    <w:p>
      <w:pPr>
        <w:pStyle w:val="Heading3"/>
      </w:pPr>
      <w:r>
        <w:t xml:space="preserve">3.1.1 Dataset</w:t>
      </w:r>
    </w:p>
    <w:p>
      <w:pPr>
        <w:spacing w:before="100" w:after="120"/>
      </w:pPr>
      <w:r>
        <w:t xml:space="preserve">We use the MovieLens 1M dataset, comprising 1,000,209 ratings from 6,040 users on 3,706 movies. Ratings are on a 1-5 scale with integer values. This dataset is widely used in collaborative filtering research, providing a standard benchmark for reproducibility.</w:t>
      </w:r>
    </w:p>
    <w:p>
      <w:pPr>
        <w:pStyle w:val="Heading3"/>
      </w:pPr>
      <w:r>
        <w:t xml:space="preserve">3.1.2 User Categorization</w:t>
      </w:r>
    </w:p>
    <w:p>
      <w:pPr>
        <w:spacing w:before="100" w:after="120"/>
      </w:pPr>
      <w:r>
        <w:t xml:space="preserve">We stratify users into three categories based on the number of ratings they have provided:</w:t>
      </w:r>
    </w:p>
    <w:p>
      <w:pPr>
        <w:spacing w:after="60" left="720"/>
      </w:pPr>
      <w:r>
        <w:t xml:space="preserve">• Sparse users: &lt;10 ratings (approximately 40% of users)</w:t>
      </w:r>
    </w:p>
    <w:p>
      <w:pPr>
        <w:spacing w:after="60" left="720"/>
      </w:pPr>
      <w:r>
        <w:t xml:space="preserve">• Medium users: 10-50 ratings (approximately 40% of users)</w:t>
      </w:r>
    </w:p>
    <w:p>
      <w:pPr>
        <w:spacing w:after="120" left="720"/>
      </w:pPr>
      <w:r>
        <w:t xml:space="preserve">• Dense users: ≥50 ratings (approximately 20% of users)</w:t>
      </w:r>
    </w:p>
    <w:p>
      <w:pPr>
        <w:spacing w:after="120"/>
      </w:pPr>
      <w:r>
        <w:t xml:space="preserve">The threshold of 10 ratings is chosen based on preliminary analysis showing inflection points in stability curves around this value. This threshold also aligns with theoretical considerations: with k=50 latent factors, 10 observations approaches the minimal information-theoretic requirement for reliable factorization.</w:t>
      </w:r>
    </w:p>
    <w:p>
      <w:pPr>
        <w:pStyle w:val="Heading2"/>
      </w:pPr>
      <w:r>
        <w:t xml:space="preserve">3.2 Model Training</w:t>
      </w:r>
    </w:p>
    <w:p>
      <w:pPr>
        <w:pStyle w:val="Heading3"/>
      </w:pPr>
      <w:r>
        <w:t xml:space="preserve">3.2.1 SVD Configuration</w:t>
      </w:r>
    </w:p>
    <w:p>
      <w:pPr>
        <w:spacing w:before="100" w:after="120"/>
      </w:pPr>
      <w:r>
        <w:t xml:space="preserve">We implement truncated SVD with k=50 latent factors using scipy's sparse SVD implementation. The ratings matrix is mean-centered before factorization—a standard preprocessing step that removes global biases and helps SVD focus on learning preference patterns rather than average rating tendencies.</w:t>
      </w:r>
    </w:p>
    <w:p>
      <w:pPr>
        <w:pStyle w:val="Heading3"/>
      </w:pPr>
      <w:r>
        <w:t xml:space="preserve">3.2.2 Multi-Model Training Protocol</w:t>
      </w:r>
    </w:p>
    <w:p>
      <w:pPr>
        <w:spacing w:before="100" w:after="120"/>
      </w:pPr>
      <w:r>
        <w:t xml:space="preserve">To measure embedding stability, we train multiple independent model instances (n=5) with different random initializations. Each model is trained on the same data but with different random seeds, simulating what occurs in production when models are periodically retrained.</w:t>
      </w:r>
    </w:p>
    <w:p>
      <w:pPr>
        <w:spacing w:after="120"/>
      </w:pPr>
      <w:r>
        <w:t xml:space="preserve">The random seed affects the initialization of iterative SVD solvers. While different initializations should converge to similar solutions for well-conditioned problems, under-constrained problems (as with sparse users) may converge to different local solutions, revealing instability.</w:t>
      </w:r>
    </w:p>
    <w:p>
      <w:pPr>
        <w:pStyle w:val="Heading2"/>
      </w:pPr>
      <w:r>
        <w:t xml:space="preserve">3.3 Stability Measurement</w:t>
      </w:r>
    </w:p>
    <w:p>
      <w:pPr>
        <w:pStyle w:val="Heading3"/>
      </w:pPr>
      <w:r>
        <w:t xml:space="preserve">3.3.1 Cosine Distance Metric</w:t>
      </w:r>
    </w:p>
    <w:p>
      <w:pPr>
        <w:spacing w:before="100" w:after="120"/>
      </w:pPr>
      <w:r>
        <w:t xml:space="preserve">We measure embedding stability using cosine distance between corresponding user embeddings from different model instances. For user u with embeddings e₁ and e₂ from two models, cosine distance is defined as:</w:t>
      </w:r>
    </w:p>
    <w:p>
      <w:pPr>
        <w:pStyle w:val="Equation"/>
      </w:pPr>
      <w:r>
        <w:t xml:space="preserve">d(e₁, e₂) = 1 - (e₁·e₂) / (||e₁|| ||e₂||)</w:t>
      </w:r>
    </w:p>
    <w:p>
      <w:pPr>
        <w:spacing w:before="100" w:after="120"/>
      </w:pPr>
      <w:r>
        <w:t xml:space="preserve">Cosine distance ranges from 0 (identical direction) to 2 (opposite direction), though in practice we observe values between 0 and 1 for this application. The metric is scale-invariant, measuring angular difference rather than magnitude difference, which is appropriate since we care about preference direction rather than embedding scale.</w:t>
      </w:r>
    </w:p>
    <w:p>
      <w:pPr>
        <w:pStyle w:val="Heading3"/>
      </w:pPr>
      <w:r>
        <w:t xml:space="preserve">3.3.2 Pairwise Comparison</w:t>
      </w:r>
    </w:p>
    <w:p>
      <w:pPr>
        <w:spacing w:before="100" w:after="120"/>
      </w:pPr>
      <w:r>
        <w:t xml:space="preserve">With n=5 models, we compute cosine distance for all C(5,2)=10 pairwise combinations. For each user, this yields 10 distance measurements, which we aggregate using mean and median statistics. Median is particularly robust to outliers and provides a representative measure of typical stability.</w:t>
      </w:r>
    </w:p>
    <w:p>
      <w:pPr>
        <w:pStyle w:val="Heading2"/>
      </w:pPr>
      <w:r>
        <w:t xml:space="preserve">3.4 Standard Evaluation</w:t>
      </w:r>
    </w:p>
    <w:p>
      <w:pPr>
        <w:spacing w:before="100" w:after="120"/>
      </w:pPr>
      <w:r>
        <w:t xml:space="preserve">For comparison with stability-based diagnostics, we also evaluate models using Root Mean Squared Error (RMSE) on a held-out test set (20% of data). RMSE measures predictive accuracy:</w:t>
      </w:r>
    </w:p>
    <w:p>
      <w:pPr>
        <w:pStyle w:val="Equation"/>
      </w:pPr>
      <w:r>
        <w:t xml:space="preserve">RMSE = √(Σ(r_pred - r_true)² / N)</w:t>
      </w:r>
    </w:p>
    <w:p>
      <w:pPr>
        <w:spacing w:before="100" w:after="180"/>
      </w:pPr>
      <w:r>
        <w:t xml:space="preserve">We compute RMSE both overall and stratified by user category to examine whether prediction error correlates with embedding stability.</w:t>
      </w:r>
    </w:p>
    <w:p>
      <w:pPr>
        <w:pStyle w:val="Heading1"/>
      </w:pPr>
      <w:r>
        <w:t xml:space="preserve">4. Results and Analysis</w:t>
      </w:r>
    </w:p>
    <w:p>
      <w:pPr>
        <w:pStyle w:val="Heading2"/>
      </w:pPr>
      <w:r>
        <w:t xml:space="preserve">4.1 Embedding Stability by User Category</w:t>
      </w:r>
    </w:p>
    <w:p>
      <w:pPr>
        <w:spacing w:before="100" w:after="120"/>
      </w:pPr>
      <w:r>
        <w:t xml:space="preserve">Table 1 summarizes embedding stability measurements across user categories:</w:t>
      </w:r>
    </w:p>
    <w:p>
      <w:pPr>
        <w:spacing w:before="100" w:after="60"/>
      </w:pPr>
      <w:r>
        <w:rPr>
          <w:b/>
          <w:bCs/>
        </w:rPr>
        <w:t xml:space="preserve">Table 1: Embedding Stability (Cosine Distance)</w:t>
      </w:r>
    </w:p>
    <w:p>
      <w:pPr>
        <w:spacing w:after="60" left="720"/>
      </w:pPr>
      <w:r>
        <w:t xml:space="preserve">User Category     Mean      Median    Std Dev</w:t>
      </w:r>
    </w:p>
    <w:p>
      <w:pPr>
        <w:spacing w:after="60" left="720"/>
      </w:pPr>
      <w:r>
        <w:t xml:space="preserve">Sparse (&lt;10)      0.506     0.503     0.142</w:t>
      </w:r>
    </w:p>
    <w:p>
      <w:pPr>
        <w:spacing w:after="60" left="720"/>
      </w:pPr>
      <w:r>
        <w:t xml:space="preserve">Medium (10-50)    0.152     0.148     0.086</w:t>
      </w:r>
    </w:p>
    <w:p>
      <w:pPr>
        <w:spacing w:after="120" left="720"/>
      </w:pPr>
      <w:r>
        <w:t xml:space="preserve">Dense (≥50)       0.051     0.049     0.028</w:t>
      </w:r>
    </w:p>
    <w:p>
      <w:pPr>
        <w:spacing w:after="120"/>
      </w:pPr>
      <w:r>
        <w:t xml:space="preserve">The results show a clear monotonic relationship between data availability and stability. Sparse users exhibit median cosine distance of 0.503, indicating that their embeddings shift by approximately 50% in angular distance across retraining. Dense users show distance of only 0.049 (about 5%), representing 10-fold greater stability.</w:t>
      </w:r>
    </w:p>
    <w:p>
      <w:pPr>
        <w:spacing w:after="120"/>
      </w:pPr>
      <w:r>
        <w:t xml:space="preserve">The standard deviation also decreases with data availability, suggesting that not only do dense users have more stable embeddings on average, but they also show more consistent stability (less variance in stability measurements).</w:t>
      </w:r>
    </w:p>
    <w:p>
      <w:pPr>
        <w:pStyle w:val="Heading2"/>
      </w:pPr>
      <w:r>
        <w:t xml:space="preserve">4.2 Standard Performance Metrics</w:t>
      </w:r>
    </w:p>
    <w:p>
      <w:pPr>
        <w:spacing w:before="100" w:after="120"/>
      </w:pPr>
      <w:r>
        <w:t xml:space="preserve">Table 2 presents RMSE evaluation results:</w:t>
      </w:r>
    </w:p>
    <w:p>
      <w:pPr>
        <w:spacing w:before="100" w:after="60"/>
      </w:pPr>
      <w:r>
        <w:rPr>
          <w:b/>
          <w:bCs/>
        </w:rPr>
        <w:t xml:space="preserve">Table 2: Prediction Error (RMSE)</w:t>
      </w:r>
    </w:p>
    <w:p>
      <w:pPr>
        <w:spacing w:after="60" left="720"/>
      </w:pPr>
      <w:r>
        <w:t xml:space="preserve">User Category     RMSE</w:t>
      </w:r>
    </w:p>
    <w:p>
      <w:pPr>
        <w:spacing w:after="60" left="720"/>
      </w:pPr>
      <w:r>
        <w:t xml:space="preserve">Overall           0.82</w:t>
      </w:r>
    </w:p>
    <w:p>
      <w:pPr>
        <w:spacing w:after="60" left="720"/>
      </w:pPr>
      <w:r>
        <w:t xml:space="preserve">Sparse (&lt;10)      0.89</w:t>
      </w:r>
    </w:p>
    <w:p>
      <w:pPr>
        <w:spacing w:after="120" left="720"/>
      </w:pPr>
      <w:r>
        <w:t xml:space="preserve">Dense (≥50)       0.78</w:t>
      </w:r>
    </w:p>
    <w:p>
      <w:pPr>
        <w:spacing w:after="120"/>
      </w:pPr>
      <w:r>
        <w:t xml:space="preserve">RMSE values are in the range 0.78-0.89, representing typical performance for collaborative filtering on this dataset. Sparse users show modestly higher error (0.89 vs 0.78), but the difference is only about 14%—far less dramatic than the 10-fold stability difference.</w:t>
      </w:r>
    </w:p>
    <w:p>
      <w:pPr>
        <w:spacing w:after="180"/>
      </w:pPr>
      <w:r>
        <w:t xml:space="preserve">This demonstrates the key finding: standard metrics suggest acceptable performance with modest degradation for sparse users, while stability analysis reveals that 40% of users are receiving recommendations based on highly unstable representations. The evaluation gap arises because RMSE measures average prediction error but provides no information about representation reliability.</w:t>
      </w:r>
    </w:p>
    <w:p>
      <w:pPr>
        <w:pStyle w:val="Heading2"/>
      </w:pPr>
      <w:r>
        <w:t xml:space="preserve">4.3 Distribution Analysis</w:t>
      </w:r>
    </w:p>
    <w:p>
      <w:pPr>
        <w:spacing w:before="100" w:after="120"/>
      </w:pPr>
      <w:r>
        <w:t xml:space="preserve">Analysis of the user activity distribution confirms the long-tail structure typical of recommendation systems. Approximately 40% of users have fewer than 10 ratings, 40% have 10-50 ratings, and 20% have 50 or more ratings. The median user has only 18 ratings, while the mean is 166 ratings, indicating strong positive skew.</w:t>
      </w:r>
    </w:p>
    <w:p>
      <w:pPr>
        <w:spacing w:after="180"/>
      </w:pPr>
      <w:r>
        <w:t xml:space="preserve">This distribution pattern means that the reliability problem identified here is not confined to a small edge case. Nearly half the user population falls into the sparse category where embedding instability is severe. In production systems with similar distributions, this could translate to millions of users receiving unreliable service.</w:t>
      </w:r>
    </w:p>
    <w:p>
      <w:pPr>
        <w:pStyle w:val="Heading1"/>
      </w:pPr>
      <w:r>
        <w:t xml:space="preserve">5. Discussion</w:t>
      </w:r>
    </w:p>
    <w:p>
      <w:pPr>
        <w:pStyle w:val="Heading2"/>
      </w:pPr>
      <w:r>
        <w:t xml:space="preserve">5.1 Theoretical Interpretation</w:t>
      </w:r>
    </w:p>
    <w:p>
      <w:pPr>
        <w:spacing w:before="100" w:after="120"/>
      </w:pPr>
      <w:r>
        <w:t xml:space="preserve">The observed stability patterns can be understood through the lens of statistical estimation. Matrix factorization for a user with n ratings is solving an optimization problem with k parameters (the k-dimensional embedding). When n &lt;&lt; k (as for sparse users), the problem is severely under-constrained. Multiple embedding vectors may yield similar reconstruction error, leading to solution instability across different optimization trajectories.</w:t>
      </w:r>
    </w:p>
    <w:p>
      <w:pPr>
        <w:spacing w:after="120"/>
      </w:pPr>
      <w:r>
        <w:t xml:space="preserve">For dense users where n &gt;&gt; k, the problem is over-constrained, and the solution is well-determined. Small perturbations in initialization or optimization path lead to convergence to similar solutions. This manifests as geometric stability in the learned embeddings.</w:t>
      </w:r>
    </w:p>
    <w:p>
      <w:pPr>
        <w:pStyle w:val="Heading2"/>
      </w:pPr>
      <w:r>
        <w:t xml:space="preserve">5.2 Implications for System Design</w:t>
      </w:r>
    </w:p>
    <w:p>
      <w:pPr>
        <w:pStyle w:val="Heading3"/>
      </w:pPr>
      <w:r>
        <w:t xml:space="preserve">5.2.1 Evaluation Practices</w:t>
      </w:r>
    </w:p>
    <w:p>
      <w:pPr>
        <w:spacing w:before="100" w:after="120"/>
      </w:pPr>
      <w:r>
        <w:t xml:space="preserve">This work demonstrates that aggregate metrics can systematically mask subpopulation-specific failures. Evaluation protocols should include stability diagnostics and per-group analysis to ensure systems work reliably for all users, not just on average. Representation-based diagnostics complement prediction-focused metrics by revealing failure modes invisible to standard evaluation.</w:t>
      </w:r>
    </w:p>
    <w:p>
      <w:pPr>
        <w:pStyle w:val="Heading3"/>
      </w:pPr>
      <w:r>
        <w:t xml:space="preserve">5.2.2 Architecture Decisions</w:t>
      </w:r>
    </w:p>
    <w:p>
      <w:pPr>
        <w:spacing w:before="100" w:after="120"/>
      </w:pPr>
      <w:r>
        <w:t xml:space="preserve">The identification of a reliability threshold around 10 interactions suggests architectural considerations. For users below this threshold, hybrid approaches may be warranted: combining collaborative filtering with content-based features, demographic information, or global popularity trends. This provides a principled criterion for when to trust learned embeddings versus using more robust fallback strategies.</w:t>
      </w:r>
    </w:p>
    <w:p>
      <w:pPr>
        <w:pStyle w:val="Heading3"/>
      </w:pPr>
      <w:r>
        <w:t xml:space="preserve">5.2.3 Fairness Considerations</w:t>
      </w:r>
    </w:p>
    <w:p>
      <w:pPr>
        <w:spacing w:before="100" w:after="180"/>
      </w:pPr>
      <w:r>
        <w:t xml:space="preserve">From a fairness perspective, users with sparse interaction histories may systematically receive lower-quality service. New users, casual users, or users in niche categories are more likely to be sparse, potentially creating demographic or interest-based service disparities. Stability-aware design can help ensure more equitable system performance.</w:t>
      </w:r>
    </w:p>
    <w:p>
      <w:pPr>
        <w:pStyle w:val="Heading2"/>
      </w:pPr>
      <w:r>
        <w:t xml:space="preserve">5.3 Limitations and Future Work</w:t>
      </w:r>
    </w:p>
    <w:p>
      <w:pPr>
        <w:spacing w:before="100" w:after="60"/>
      </w:pPr>
      <w:r>
        <w:t xml:space="preserve">Several limitations should be noted:</w:t>
      </w:r>
    </w:p>
    <w:p>
      <w:pPr>
        <w:spacing w:after="60" left="720"/>
      </w:pPr>
      <w:r>
        <w:t xml:space="preserve">• Single dataset: Results are demonstrated on MovieLens 1M; validation on other domains would strengthen generalization claims</w:t>
      </w:r>
    </w:p>
    <w:p>
      <w:pPr>
        <w:spacing w:after="60" left="720"/>
      </w:pPr>
      <w:r>
        <w:t xml:space="preserve">• SVD focus: Analysis uses truncated SVD; other factorization methods (NMF, neural approaches) may exhibit different stability characteristics</w:t>
      </w:r>
    </w:p>
    <w:p>
      <w:pPr>
        <w:spacing w:after="120" left="720"/>
      </w:pPr>
      <w:r>
        <w:t xml:space="preserve">• Static analysis: We examine stability at one point in time; temporal stability and concept drift warrant investigation</w:t>
      </w:r>
    </w:p>
    <w:p>
      <w:pPr>
        <w:spacing w:after="180"/>
      </w:pPr>
      <w:r>
        <w:t xml:space="preserve">Future work could explore: (1) stability-aware training objectives, (2) uncertainty quantification for embeddings, (3) hybrid architectures that adapt to user data availability, and (4) extension to other factorization and deep learning methods.</w:t>
      </w:r>
    </w:p>
    <w:p>
      <w:pPr>
        <w:pStyle w:val="Heading1"/>
      </w:pPr>
      <w:r>
        <w:t xml:space="preserve">6. Conclusion</w:t>
      </w:r>
    </w:p>
    <w:p>
      <w:pPr>
        <w:spacing w:before="100" w:after="120"/>
      </w:pPr>
      <w:r>
        <w:t xml:space="preserve">This work demonstrates that data sparsity fundamentally affects the geometric stability of learned representations in collaborative filtering systems. Users with sparse interaction histories exhibit 10-fold greater embedding instability than users with dense histories, affecting approximately 40% of the user population. Critically, standard evaluation metrics (RMSE) provide no visibility into this reliability problem, showing only modest performance differences despite severe stability gaps.</w:t>
      </w:r>
    </w:p>
    <w:p>
      <w:pPr>
        <w:spacing w:after="120"/>
      </w:pPr>
      <w:r>
        <w:t xml:space="preserve">These findings have important implications for building reliable and fair recommendation systems. Evaluation should include stability diagnostics alongside prediction metrics. System architectures should account for data-dependent reliability, potentially using hybrid approaches for sparse users. More broadly, this work contributes to understanding the gap between aggregate performance and per-user reliability in machine learning systems.</w:t>
      </w:r>
    </w:p>
    <w:p>
      <w:pPr>
        <w:spacing w:after="180"/>
      </w:pPr>
      <w:r>
        <w:t xml:space="preserve">The complete implementation and documentation are available for reproduction and extension, enabling further investigation of representation geometry and stability in recommendation systems.</w:t>
      </w:r>
    </w:p>
    <w:p>
      <w:pPr>
        <w:pStyle w:val="Heading1"/>
      </w:pPr>
      <w:r>
        <w:t xml:space="preserve">7. References</w:t>
      </w:r>
    </w:p>
    <w:p>
      <w:pPr>
        <w:spacing w:before="100" w:after="60"/>
      </w:pPr>
      <w:r>
        <w:t xml:space="preserve">1. Harper, F. M., &amp; Konstan, J. A. (2015). The MovieLens datasets: History and context. ACM Transactions on Interactive Intelligent Systems (TiiS), 5(4), 1-19.</w:t>
      </w:r>
    </w:p>
    <w:p>
      <w:pPr>
        <w:spacing w:after="60"/>
      </w:pPr>
      <w:r>
        <w:t xml:space="preserve">2. Koren, Y., Bell, R., &amp; Volinsky, C. (2009). Matrix factorization techniques for recommender systems. Computer, 42(8), 30-37.</w:t>
      </w:r>
    </w:p>
    <w:p>
      <w:pPr>
        <w:spacing w:after="60"/>
      </w:pPr>
      <w:r>
        <w:t xml:space="preserve">3. Golub, G. H., &amp; Van Loan, C. F. (2013). Matrix computations (4th ed.). Johns Hopkins University Press.</w:t>
      </w:r>
    </w:p>
    <w:p>
      <w:pPr>
        <w:spacing w:after="60"/>
      </w:pPr>
      <w:r>
        <w:t xml:space="preserve">4. Halko, N., Martinsson, P. G., &amp; Tropp, J. A. (2011). Finding structure with randomness: Probabilistic algorithms for constructing approximate matrix decompositions. SIAM Review, 53(2), 217-288.</w:t>
      </w:r>
    </w:p>
    <w:p>
      <w:pPr>
        <w:spacing w:after="180"/>
      </w:pPr>
      <w:r>
        <w:t xml:space="preserve">5. Candès, E. J., &amp; Recht, B. (2009). Exact matrix completion via convex optimization. Foundations of Computational Mathematics, 9(6), 717-772.</w:t>
      </w:r>
    </w:p>
    <w:p>
      <w:pPr>
        <w:pStyle w:val="Heading1"/>
      </w:pPr>
      <w:r>
        <w:t xml:space="preserve">Appendix A: Implementation Details</w:t>
      </w:r>
    </w:p>
    <w:p>
      <w:pPr>
        <w:pStyle w:val="Heading2"/>
      </w:pPr>
      <w:r>
        <w:t xml:space="preserve">A.1 Software Dependencies</w:t>
      </w:r>
    </w:p>
    <w:p>
      <w:pPr>
        <w:spacing w:before="100" w:after="60"/>
      </w:pPr>
      <w:r>
        <w:t xml:space="preserve">The implementation uses the following Python libraries:</w:t>
      </w:r>
    </w:p>
    <w:p>
      <w:pPr>
        <w:spacing w:after="60" left="720"/>
      </w:pPr>
      <w:r>
        <w:t xml:space="preserve">• NumPy 1.24+ for numerical operations</w:t>
      </w:r>
    </w:p>
    <w:p>
      <w:pPr>
        <w:spacing w:after="60" left="720"/>
      </w:pPr>
      <w:r>
        <w:t xml:space="preserve">• pandas 2.0+ for data manipulation</w:t>
      </w:r>
    </w:p>
    <w:p>
      <w:pPr>
        <w:spacing w:after="60" left="720"/>
      </w:pPr>
      <w:r>
        <w:t xml:space="preserve">• SciPy 1.10+ for sparse matrix operations and SVD</w:t>
      </w:r>
    </w:p>
    <w:p>
      <w:pPr>
        <w:spacing w:after="60" left="720"/>
      </w:pPr>
      <w:r>
        <w:t xml:space="preserve">• scikit-learn 1.2+ for evaluation metrics</w:t>
      </w:r>
    </w:p>
    <w:p>
      <w:pPr>
        <w:spacing w:after="120" left="720"/>
      </w:pPr>
      <w:r>
        <w:t xml:space="preserve">• Matplotlib 3.7+ and Seaborn 0.12+ for visualization</w:t>
      </w:r>
    </w:p>
    <w:p>
      <w:pPr>
        <w:pStyle w:val="Heading2"/>
      </w:pPr>
      <w:r>
        <w:t xml:space="preserve">A.2 Computational Complexity</w:t>
      </w:r>
    </w:p>
    <w:p>
      <w:pPr>
        <w:spacing w:before="100" w:after="120"/>
      </w:pPr>
      <w:r>
        <w:t xml:space="preserve">Truncated SVD using iterative methods has complexity O(k·nnz) where k is the number of factors and nnz is the number of non-zero entries. For MovieLens 1M with k=50 and nnz≈1M, each SVD computation takes approximately 2-3 seconds on modern hardware. Training 5 models requires about 10-15 seconds. Stability computation across all user pairs adds negligible overhead.</w:t>
      </w:r>
    </w:p>
    <w:p>
      <w:pPr>
        <w:pStyle w:val="Heading2"/>
      </w:pPr>
      <w:r>
        <w:t xml:space="preserve">A.3 Reproducibility</w:t>
      </w:r>
    </w:p>
    <w:p>
      <w:pPr>
        <w:spacing w:before="100" w:after="120"/>
      </w:pPr>
      <w:r>
        <w:t xml:space="preserve">All results are fully reproducible. The implementation uses fixed random seeds (42, 43, 44, 45, 46 for the 5 model instances), and the MovieLens 1M dataset is publicly available. Running the provided code on the same dataset produces identical numerical results (up to floating-point precision). Complete source code, documentation, and usage instructions are included in the project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20"/>
      <w:outlineLvl w:val="0"/>
    </w:pPr>
    <w:rPr>
      <w:rFonts w:ascii="Arial" w:cs="Arial" w:eastAsia="Arial" w:hAnsi="Arial"/>
      <w:b/>
      <w:bCs/>
      <w:color w:val="2B579A"/>
      <w:sz w:val="32"/>
      <w:szCs w:val="32"/>
    </w:rPr>
  </w:style>
  <w:style w:type="paragraph" w:styleId="Heading2">
    <w:name w:val="Heading 2"/>
    <w:basedOn w:val="Normal"/>
    <w:pPr>
      <w:spacing w:before="200" w:after="100"/>
      <w:outlineLvl w:val="1"/>
    </w:pPr>
    <w:rPr>
      <w:rFonts w:ascii="Arial" w:cs="Arial" w:eastAsia="Arial" w:hAnsi="Arial"/>
      <w:b/>
      <w:bCs/>
      <w:color w:val="2B579A"/>
      <w:sz w:val="28"/>
      <w:szCs w:val="28"/>
    </w:rPr>
  </w:style>
  <w:style w:type="paragraph" w:styleId="Heading3">
    <w:name w:val="Heading 3"/>
    <w:basedOn w:val="Normal"/>
    <w:pPr>
      <w:spacing w:before="160" w:after="80"/>
      <w:outlineLvl w:val="2"/>
    </w:pPr>
    <w:rPr>
      <w:rFonts w:ascii="Arial" w:cs="Arial" w:eastAsia="Arial" w:hAnsi="Arial"/>
      <w:b/>
      <w:bCs/>
      <w:color w:val="4472C4"/>
      <w:sz w:val="24"/>
      <w:szCs w:val="24"/>
    </w:rPr>
  </w:style>
  <w:style w:type="paragraph" w:styleId="Code">
    <w:name w:val="Code"/>
    <w:basedOn w:val="Normal"/>
    <w:pPr>
      <w:spacing w:before="60" w:after="60"/>
    </w:pPr>
    <w:rPr>
      <w:rFonts w:ascii="Consolas" w:cs="Consolas" w:eastAsia="Consolas" w:hAnsi="Consolas"/>
      <w:color w:val="C7254E"/>
      <w:sz w:val="20"/>
      <w:szCs w:val="20"/>
    </w:rPr>
  </w:style>
  <w:style w:type="paragraph" w:styleId="Equation">
    <w:name w:val="Equation"/>
    <w:basedOn w:val="Normal"/>
    <w:pPr>
      <w:spacing w:before="80" w:after="80"/>
      <w:jc w:val="center"/>
    </w:pPr>
    <w:rPr>
      <w:rFonts w:ascii="Cambria Math" w:cs="Cambria Math" w:eastAsia="Cambria Math" w:hAnsi="Cambria Math"/>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2026-01-02T06:40:42.385Z</dcterms:created>
  <dcterms:modified xsi:type="dcterms:W3CDTF">2026-01-02T06:40:42.387Z</dcterms:modified>
</cp:coreProperties>
</file>

<file path=docProps/custom.xml><?xml version="1.0" encoding="utf-8"?>
<Properties xmlns="http://schemas.openxmlformats.org/officeDocument/2006/custom-properties" xmlns:vt="http://schemas.openxmlformats.org/officeDocument/2006/docPropsVTypes"/>
</file>