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Главным инженером назначен Светлана Громова.</w:t>
      </w:r>
    </w:p>
    <w:p>
      <w:r>
        <w:t>Статус согласования сметы: согласовано.</w:t>
      </w:r>
    </w:p>
    <w:p>
      <w:r>
        <w:t>Статус аудита расходов: согласовано.</w:t>
      </w:r>
    </w:p>
    <w:p>
      <w:r>
        <w:t>Рост показателя «затраты на материалы» составил 29 процентов.</w:t>
      </w:r>
    </w:p>
    <w:p>
      <w:r>
        <w:t>Стоимость по статье «пусконаладка» составляет 489 тысяч рублей.</w:t>
      </w:r>
    </w:p>
    <w:p>
      <w:r>
        <w:t>Статус ввода данных в систему: отклонено.</w:t>
      </w:r>
    </w:p>
    <w:p>
      <w:r>
        <w:t>Главным бухгалтером назначен Наталья Гусева.</w:t>
      </w:r>
    </w:p>
    <w:p>
      <w:r>
        <w:t>Показатель «выручка» за 2024 год составил 880 единиц.</w:t>
      </w:r>
    </w:p>
    <w:p>
      <w:r>
        <w:t>Показатель «выручка» за 2024 год составил 1099 единиц.</w:t>
      </w:r>
    </w:p>
    <w:p>
      <w:r>
        <w:t>Стоимость по статье «лицензии» составляет 756 тысяч рублей.</w:t>
      </w:r>
    </w:p>
    <w:p>
      <w:r>
        <w:t>Стоимость по статье «лицензии» составляет 1080 тысяч рублей.</w:t>
      </w:r>
    </w:p>
    <w:p>
      <w:r>
        <w:t>Показатель «прочее: операционные расходы» за 2024 год составил 608 единиц.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