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Руководителем проекта назначен Светлана Громова.</w:t>
      </w:r>
    </w:p>
    <w:p>
      <w:r>
        <w:t>Статус ввода данных в систему: согласовано.</w:t>
      </w:r>
    </w:p>
    <w:p>
      <w:r>
        <w:t>Статус согласования сметы: согласовано.</w:t>
      </w:r>
    </w:p>
    <w:p>
      <w:r>
        <w:t>Срок «ввод в эксплуатацию» назначен на 11 февраля 2025 года.</w:t>
      </w:r>
    </w:p>
    <w:p>
      <w:r>
        <w:t>Срок «старт проекта» назначен на 1 октября 2025 года.</w:t>
      </w:r>
    </w:p>
    <w:p>
      <w:r>
        <w:t>Ведущим аналитиком назначен Юлия Седова.</w:t>
      </w:r>
    </w:p>
    <w:p>
      <w:r>
        <w:t>Ответственным за приёмку назначен Юлия Седова.</w:t>
      </w:r>
    </w:p>
    <w:p>
      <w:r>
        <w:t>Показатель «дебиторская задолженность» за 2024 год составил 659 единиц.</w:t>
      </w:r>
    </w:p>
    <w:p>
      <w:r>
        <w:t>Показатель «дебиторская задолженность» за 2024 год составил 840 единиц.</w:t>
      </w:r>
    </w:p>
    <w:p>
      <w:r>
        <w:t>Показатель «фонд оплаты труда» за 2024 год составил 491 единиц.</w:t>
      </w:r>
    </w:p>
    <w:p>
      <w:r>
        <w:t>Показатель «фонд оплаты труда» за 2024 год составил 757 единиц.</w:t>
      </w:r>
    </w:p>
    <w:p>
      <w:r>
        <w:t>Показатель «прочее: объём инвестиций» за 2024 год составил 353 единиц.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