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Куратором поставки назначен Светлана Громова.</w:t>
      </w:r>
    </w:p>
    <w:p>
      <w:r>
        <w:t>Статус ввода данных в систему: согласовано.</w:t>
      </w:r>
    </w:p>
    <w:p>
      <w:r>
        <w:t>Менеджером проекта назначен Анна Воробьёва.</w:t>
      </w:r>
    </w:p>
    <w:p>
      <w:r>
        <w:t>Показатель «выручка» за 2024 год составил 932 единиц.</w:t>
      </w:r>
    </w:p>
    <w:p>
      <w:r>
        <w:t>Стоимость по статье «доставка» составляет 563 тысяч рублей.</w:t>
      </w:r>
    </w:p>
    <w:p>
      <w:r>
        <w:t>Статус поверки приборов: отклонено.</w:t>
      </w:r>
    </w:p>
    <w:p>
      <w:r>
        <w:t>Главным бухгалтером назначен Ольга Белова.</w:t>
      </w:r>
    </w:p>
    <w:p>
      <w:r>
        <w:t>Показатель «дебиторская задолженность» за 2024 год составил 673 единиц.</w:t>
      </w:r>
    </w:p>
    <w:p>
      <w:r>
        <w:t>Показатель «дебиторская задолженность» за 2024 год составил 715 единиц.</w:t>
      </w:r>
    </w:p>
    <w:p>
      <w:r>
        <w:t>Стоимость по статье «пусконаладка» составляет 402 тысяч рублей.</w:t>
      </w:r>
    </w:p>
    <w:p>
      <w:r>
        <w:t>Стоимость по статье «пусконаладка» составляет 518 тысяч рублей.</w:t>
      </w:r>
    </w:p>
    <w:p>
      <w:r>
        <w:t>Показатель «прочее: фонд оплаты труда» за 2024 год составил 640 единиц.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