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Срок «ввод в эксплуатацию» назначен на 16 мая 2025 года.</w:t>
      </w:r>
    </w:p>
    <w:p>
      <w:r>
        <w:t>Рост показателя «выручка» составил 9 процентов.</w:t>
      </w:r>
    </w:p>
    <w:p>
      <w:r>
        <w:t>Стоимость по статье «пусконаладка» составляет 610 тысяч рублей.</w:t>
      </w:r>
    </w:p>
    <w:p>
      <w:r>
        <w:t>Главным бухгалтером назначен Елена Морозова.</w:t>
      </w:r>
    </w:p>
    <w:p>
      <w:r>
        <w:t>Показатель «чистая прибыль» за 2024 год составил 615 единиц.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