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Главным инженером назначен Светлана Громова.</w:t>
      </w:r>
    </w:p>
    <w:p>
      <w:r>
        <w:t>Статус согласования сметы: согласовано.</w:t>
      </w:r>
    </w:p>
    <w:p>
      <w:r>
        <w:t>Статус аудита расходов: согласовано.</w:t>
      </w:r>
    </w:p>
    <w:p>
      <w:r>
        <w:t>Рост показателя «затраты на материалы» составил 3 процентов.</w:t>
      </w:r>
    </w:p>
    <w:p>
      <w:r>
        <w:t>Стоимость по статье «пусконаладка» составляет 308 тысяч рублей.</w:t>
      </w:r>
    </w:p>
    <w:p>
      <w:r>
        <w:t>Статус ввода данных в систему: согласовано.</w:t>
      </w:r>
    </w:p>
    <w:p>
      <w:r>
        <w:t>Главным бухгалтером назначен Игорь Смирнов.</w:t>
      </w:r>
    </w:p>
    <w:p>
      <w:r>
        <w:t>Показатель «выручка» за 2024 год составил 880 единиц.</w:t>
      </w:r>
    </w:p>
    <w:p>
      <w:r>
        <w:t>Стоимость по статье «лицензии» составляет 756 тысяч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