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Срок «старт проекта» назначен на 22 июня 2025 года.</w:t>
      </w:r>
    </w:p>
    <w:p>
      <w:r>
        <w:t>Показатель «фонд оплаты труда» за 2024 год составил 806 единиц.</w:t>
      </w:r>
    </w:p>
    <w:p>
      <w:r>
        <w:t>Показатель «выручка» за 2024 год составил 590 единиц.</w:t>
      </w:r>
    </w:p>
    <w:p>
      <w:r>
        <w:t>Показатель «объём инвестиций» за 2024 год составил 568 единиц.</w:t>
      </w:r>
    </w:p>
    <w:p>
      <w:r>
        <w:t>Стоимость по статье «монтажные работы» составляет 309 тысяч рублей.</w:t>
      </w:r>
    </w:p>
    <w:p>
      <w:r>
        <w:t>Статус приёмки партии: согласовано.</w:t>
      </w:r>
    </w:p>
    <w:p>
      <w:r>
        <w:t>Статус проверки документации: согласовано.</w:t>
      </w:r>
    </w:p>
    <w:p>
      <w:r>
        <w:t>Показатель «чистая прибыль» за 2024 год составил 506 единиц.</w:t>
      </w:r>
    </w:p>
    <w:p>
      <w:r>
        <w:t>Стоимость по статье «доставка» составляет 882 тысяч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